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5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行政处罚信息公示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案件名称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进贤县温圳嘉庆烟花爆竹经营部</w:t>
            </w:r>
            <w:bookmarkEnd w:id="0"/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改变经营地址未办理变更手续案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程序类别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一般程序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处罚决定书文号</w:t>
            </w:r>
          </w:p>
        </w:tc>
        <w:tc>
          <w:tcPr>
            <w:tcW w:w="543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进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）应急罚〔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〕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YHBZLS004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行政相对人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进贤县温圳嘉庆烟花爆竹经营部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处罚事由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改变经营地址未办理变更手续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违反依据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eastAsia="zh-CN"/>
              </w:rPr>
              <w:t>《烟花爆竹经营许可实施办法》第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二十一条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处罚依据</w:t>
            </w:r>
          </w:p>
        </w:tc>
        <w:tc>
          <w:tcPr>
            <w:tcW w:w="5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eastAsia="zh-CN"/>
              </w:rPr>
              <w:t>《烟花爆竹经营许可实施办法》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第三十五条第（一）项和《江西省应急管理部门安全生产行政处罚裁量适用细则》（2022年版）第193项第一档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做出行政处罚的部门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进贤县应急管理局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做出行政处罚的日期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30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行政处罚结果</w:t>
            </w:r>
          </w:p>
        </w:tc>
        <w:tc>
          <w:tcPr>
            <w:tcW w:w="5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处人民币叁仟元整罚款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YzkxNWViOGRlN2Y4YmU4ZDM3MjUyYjcxZTYzZWYifQ=="/>
  </w:docVars>
  <w:rsids>
    <w:rsidRoot w:val="68E4099A"/>
    <w:rsid w:val="68E4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2023-12-27T06:31:00Z</dcterms:created>
  <dc:creator>流云</dc:creator>
  <cp:lastModifiedBy>流云</cp:lastModifiedBy>
  <dcterms:modified xsi:type="dcterms:W3CDTF">2023-12-27T06:42:14Z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AC009470C9594933907B0F83A5BA6E4B_11</vt:lpwstr>
  </property>
</Properties>
</file>