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行政处罚信息公示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进贤县温圳白玉佛香店</w:t>
            </w:r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改变经营地址未办理变更手续案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程序类别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一般程序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处罚决定书文号</w:t>
            </w:r>
          </w:p>
        </w:tc>
        <w:tc>
          <w:tcPr>
            <w:tcW w:w="54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进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）应急罚〔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〕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YHBZLS005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行政相对人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进贤县温圳白玉佛香店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处罚事由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改变经营地址未办理变更手续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违反依据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  <w:t>《烟花爆竹经营许可实施办法》第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二十一条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处罚依据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eastAsia="zh-CN"/>
              </w:rPr>
              <w:t>《烟花爆竹经营许可实施办法》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第三十五条第（一）项和《江西省应急管理部门安全生产行政处罚裁量适用细则》（2022年版）第193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项第一档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做出行政处罚的部门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进贤县应急管理局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做出行政处罚的日期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行政处罚结果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u w:val="none"/>
                <w:lang w:val="en-US" w:eastAsia="zh-CN"/>
              </w:rPr>
              <w:t>处人民币壹仟元整罚款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zkxNWViOGRlN2Y4YmU4ZDM3MjUyYjcxZTYzZWYifQ=="/>
  </w:docVars>
  <w:rsids>
    <w:rsidRoot w:val="6BF20AED"/>
    <w:rsid w:val="6B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2023-12-27T06:31:00Z</dcterms:created>
  <dc:creator>流云</dc:creator>
  <cp:lastModifiedBy>流云</cp:lastModifiedBy>
  <dcterms:modified xsi:type="dcterms:W3CDTF">2023-12-27T06:42:30Z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58E88D41375E4039ABC896006E40E3A7_11</vt:lpwstr>
  </property>
</Properties>
</file>