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2022年度县级</w:t>
      </w:r>
      <w:r>
        <w:rPr>
          <w:rFonts w:hint="eastAsia" w:ascii="黑体" w:hAnsi="黑体" w:eastAsia="黑体" w:cs="黑体"/>
          <w:b w:val="0"/>
          <w:bCs w:val="0"/>
          <w:sz w:val="32"/>
          <w:szCs w:val="32"/>
          <w:lang w:val="en-US" w:eastAsia="zh-CN"/>
        </w:rPr>
        <w:t>单位</w:t>
      </w:r>
      <w:r>
        <w:rPr>
          <w:rFonts w:hint="eastAsia" w:ascii="黑体" w:hAnsi="黑体" w:eastAsia="黑体" w:cs="黑体"/>
          <w:b w:val="0"/>
          <w:bCs w:val="0"/>
          <w:color w:val="auto"/>
          <w:sz w:val="32"/>
          <w:szCs w:val="32"/>
          <w:lang w:val="en-US" w:eastAsia="zh-CN"/>
        </w:rPr>
        <w:t>决算公开格式：</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 w:hAnsi="楷体" w:eastAsia="楷体" w:cs="楷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三阳集乡人民政府单位</w:t>
      </w: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US" w:eastAsia="zh-CN"/>
        </w:rPr>
        <w:t>2</w:t>
      </w:r>
      <w:r>
        <w:rPr>
          <w:rFonts w:hint="eastAsia" w:ascii="方正小标宋简体" w:hAnsi="方正小标宋简体" w:eastAsia="方正小标宋简体" w:cs="方正小标宋简体"/>
          <w:b w:val="0"/>
          <w:bCs w:val="0"/>
          <w:color w:val="auto"/>
          <w:sz w:val="44"/>
          <w:szCs w:val="44"/>
        </w:rPr>
        <w:t>年度决算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第一部分  </w:t>
      </w:r>
      <w:r>
        <w:rPr>
          <w:rFonts w:hint="eastAsia" w:ascii="黑体" w:hAnsi="黑体" w:eastAsia="黑体" w:cs="黑体"/>
          <w:b w:val="0"/>
          <w:bCs/>
          <w:color w:val="auto"/>
          <w:sz w:val="32"/>
          <w:szCs w:val="32"/>
          <w:lang w:val="en-US" w:eastAsia="zh-CN"/>
        </w:rPr>
        <w:t>三阳集乡人民政府单位</w:t>
      </w:r>
      <w:r>
        <w:rPr>
          <w:rFonts w:hint="eastAsia" w:ascii="黑体" w:hAnsi="黑体" w:eastAsia="黑体" w:cs="黑体"/>
          <w:b w:val="0"/>
          <w:bCs/>
          <w:color w:val="auto"/>
          <w:sz w:val="32"/>
          <w:szCs w:val="32"/>
        </w:rPr>
        <w:t>概况</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主要职责</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w:t>
      </w:r>
      <w:r>
        <w:rPr>
          <w:rFonts w:hint="eastAsia" w:ascii="仿宋_GB2312" w:hAnsi="仿宋_GB2312" w:eastAsia="仿宋_GB2312" w:cs="宋体"/>
          <w:color w:val="auto"/>
          <w:kern w:val="0"/>
          <w:sz w:val="32"/>
          <w:szCs w:val="32"/>
          <w:lang w:val="en-US" w:eastAsia="zh-CN"/>
        </w:rPr>
        <w:t>单位</w:t>
      </w:r>
      <w:r>
        <w:rPr>
          <w:rFonts w:hint="eastAsia" w:ascii="仿宋_GB2312" w:hAnsi="仿宋_GB2312" w:eastAsia="仿宋_GB2312" w:cs="宋体"/>
          <w:color w:val="auto"/>
          <w:kern w:val="0"/>
          <w:sz w:val="32"/>
          <w:szCs w:val="32"/>
        </w:rPr>
        <w:t>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 xml:space="preserve">第一部分  </w:t>
      </w:r>
      <w:r>
        <w:rPr>
          <w:rFonts w:hint="eastAsia" w:ascii="方正小标宋简体" w:hAnsi="方正小标宋简体" w:eastAsia="方正小标宋简体" w:cs="方正小标宋简体"/>
          <w:b w:val="0"/>
          <w:bCs/>
          <w:color w:val="auto"/>
          <w:sz w:val="44"/>
          <w:szCs w:val="44"/>
          <w:lang w:val="en-US" w:eastAsia="zh-CN"/>
        </w:rPr>
        <w:t>三阳集乡人民政府单位</w:t>
      </w:r>
      <w:r>
        <w:rPr>
          <w:rFonts w:hint="eastAsia" w:ascii="方正小标宋简体" w:hAnsi="方正小标宋简体" w:eastAsia="方正小标宋简体" w:cs="方正小标宋简体"/>
          <w:b w:val="0"/>
          <w:bCs/>
          <w:color w:val="auto"/>
          <w:sz w:val="44"/>
          <w:szCs w:val="44"/>
        </w:rPr>
        <w:t>概况</w:t>
      </w: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rPr>
          <w:rFonts w:hint="eastAsia"/>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主要职</w:t>
      </w:r>
      <w:r>
        <w:rPr>
          <w:rFonts w:hint="eastAsia" w:ascii="黑体" w:hAnsi="黑体" w:eastAsia="黑体"/>
          <w:color w:val="auto"/>
          <w:sz w:val="32"/>
          <w:szCs w:val="32"/>
          <w:lang w:val="en-US" w:eastAsia="zh-CN"/>
        </w:rPr>
        <w:t>责</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仿宋_GB2312" w:hAnsi="仿宋" w:eastAsia="仿宋_GB2312" w:cs="Times New Roman"/>
          <w:sz w:val="32"/>
          <w:szCs w:val="32"/>
        </w:rPr>
        <w:t>在社会主义市场经济条件下，政府在经济建设中担负着重要的职能，主要是进行经济调节、市场监管、社会管理和公共服务，以促进社会经济发展，提高生产力水平和人民生活水平</w:t>
      </w:r>
      <w:r>
        <w:rPr>
          <w:rFonts w:hint="eastAsia" w:ascii="仿宋_GB2312" w:hAnsi="仿宋" w:eastAsia="仿宋_GB2312" w:cs="Times New Roman"/>
          <w:sz w:val="32"/>
          <w:szCs w:val="32"/>
          <w:lang w:eastAsia="zh-CN"/>
        </w:rPr>
        <w:t>。</w:t>
      </w:r>
      <w:r>
        <w:rPr>
          <w:rFonts w:hint="eastAsia" w:ascii="黑体" w:hAnsi="黑体" w:eastAsia="黑体"/>
          <w:color w:val="auto"/>
          <w:sz w:val="32"/>
          <w:szCs w:val="32"/>
        </w:rPr>
        <w:t>二、</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olor w:val="auto"/>
          <w:sz w:val="32"/>
          <w:szCs w:val="32"/>
          <w:lang w:val="en-US" w:eastAsia="zh-CN"/>
        </w:rPr>
        <w:t>本单位设立1个内设机构，分别是</w:t>
      </w:r>
      <w:r>
        <w:rPr>
          <w:rFonts w:hint="eastAsia" w:ascii="仿宋_GB2312" w:hAnsi="仿宋_GB2312" w:eastAsia="仿宋_GB2312" w:cs="Times New Roman"/>
          <w:color w:val="auto"/>
          <w:sz w:val="32"/>
          <w:szCs w:val="32"/>
          <w:lang w:val="en-US" w:eastAsia="zh-CN"/>
        </w:rPr>
        <w:t>三阳集乡人民政府。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年年末实有人数</w:t>
      </w:r>
      <w:r>
        <w:rPr>
          <w:rFonts w:hint="eastAsia" w:ascii="仿宋_GB2312" w:hAnsi="仿宋_GB2312" w:eastAsia="仿宋_GB2312"/>
          <w:color w:val="auto"/>
          <w:sz w:val="32"/>
          <w:szCs w:val="32"/>
          <w:lang w:val="en-US" w:eastAsia="zh-CN"/>
        </w:rPr>
        <w:t>55</w:t>
      </w:r>
      <w:r>
        <w:rPr>
          <w:rFonts w:hint="eastAsia" w:ascii="仿宋_GB2312" w:hAnsi="仿宋_GB2312" w:eastAsia="仿宋_GB2312"/>
          <w:color w:val="auto"/>
          <w:sz w:val="32"/>
          <w:szCs w:val="32"/>
        </w:rPr>
        <w:t>人，其中在职人员</w:t>
      </w:r>
      <w:r>
        <w:rPr>
          <w:rFonts w:hint="eastAsia" w:ascii="仿宋_GB2312" w:hAnsi="仿宋_GB2312" w:eastAsia="仿宋_GB2312"/>
          <w:color w:val="auto"/>
          <w:sz w:val="32"/>
          <w:szCs w:val="32"/>
          <w:lang w:val="en-US" w:eastAsia="zh-CN"/>
        </w:rPr>
        <w:t>55</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决算表</w:t>
      </w:r>
    </w:p>
    <w:p>
      <w:pPr>
        <w:autoSpaceDE w:val="0"/>
        <w:autoSpaceDN w:val="0"/>
        <w:adjustRightInd w:val="0"/>
        <w:spacing w:line="360" w:lineRule="auto"/>
        <w:jc w:val="center"/>
        <w:rPr>
          <w:color w:val="auto"/>
        </w:rPr>
      </w:pPr>
      <w:r>
        <w:drawing>
          <wp:inline distT="0" distB="0" distL="114300" distR="114300">
            <wp:extent cx="5269230" cy="5008245"/>
            <wp:effectExtent l="0" t="0" r="1270" b="825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7"/>
                    <a:stretch>
                      <a:fillRect/>
                    </a:stretch>
                  </pic:blipFill>
                  <pic:spPr>
                    <a:xfrm>
                      <a:off x="0" y="0"/>
                      <a:ext cx="5269230" cy="5008245"/>
                    </a:xfrm>
                    <a:prstGeom prst="rect">
                      <a:avLst/>
                    </a:prstGeom>
                    <a:noFill/>
                    <a:ln>
                      <a:noFill/>
                    </a:ln>
                  </pic:spPr>
                </pic:pic>
              </a:graphicData>
            </a:graphic>
          </wp:inline>
        </w:drawing>
      </w:r>
    </w:p>
    <w:p>
      <w:pPr>
        <w:autoSpaceDE w:val="0"/>
        <w:autoSpaceDN w:val="0"/>
        <w:adjustRightInd w:val="0"/>
        <w:spacing w:line="360" w:lineRule="auto"/>
        <w:jc w:val="left"/>
        <w:rPr>
          <w:rFonts w:hint="eastAsia"/>
          <w:color w:val="auto"/>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center"/>
        <w:rPr>
          <w:color w:val="auto"/>
        </w:rPr>
      </w:pPr>
      <w:r>
        <w:drawing>
          <wp:inline distT="0" distB="0" distL="114300" distR="114300">
            <wp:extent cx="5266055" cy="3291205"/>
            <wp:effectExtent l="0" t="0" r="4445" b="1079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8"/>
                    <a:stretch>
                      <a:fillRect/>
                    </a:stretch>
                  </pic:blipFill>
                  <pic:spPr>
                    <a:xfrm>
                      <a:off x="0" y="0"/>
                      <a:ext cx="5266055" cy="329120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center"/>
        <w:rPr>
          <w:color w:val="auto"/>
        </w:rPr>
      </w:pPr>
      <w:r>
        <w:drawing>
          <wp:inline distT="0" distB="0" distL="114300" distR="114300">
            <wp:extent cx="5265420" cy="4081145"/>
            <wp:effectExtent l="0" t="0" r="5080" b="825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9"/>
                    <a:stretch>
                      <a:fillRect/>
                    </a:stretch>
                  </pic:blipFill>
                  <pic:spPr>
                    <a:xfrm>
                      <a:off x="0" y="0"/>
                      <a:ext cx="5265420" cy="408114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center"/>
      </w:pPr>
      <w:r>
        <w:drawing>
          <wp:inline distT="0" distB="0" distL="114300" distR="114300">
            <wp:extent cx="5271135" cy="3667760"/>
            <wp:effectExtent l="0" t="0" r="12065" b="254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0"/>
                    <a:stretch>
                      <a:fillRect/>
                    </a:stretch>
                  </pic:blipFill>
                  <pic:spPr>
                    <a:xfrm>
                      <a:off x="0" y="0"/>
                      <a:ext cx="5271135" cy="366776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center"/>
      </w:pPr>
      <w:r>
        <w:drawing>
          <wp:inline distT="0" distB="0" distL="114300" distR="114300">
            <wp:extent cx="5269865" cy="5644515"/>
            <wp:effectExtent l="0" t="0" r="635" b="698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1"/>
                    <a:stretch>
                      <a:fillRect/>
                    </a:stretch>
                  </pic:blipFill>
                  <pic:spPr>
                    <a:xfrm>
                      <a:off x="0" y="0"/>
                      <a:ext cx="5269865" cy="564451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center"/>
        <w:rPr>
          <w:color w:val="auto"/>
        </w:rPr>
      </w:pPr>
      <w:r>
        <w:drawing>
          <wp:inline distT="0" distB="0" distL="114300" distR="114300">
            <wp:extent cx="5268595" cy="7847965"/>
            <wp:effectExtent l="0" t="0" r="1905" b="63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2"/>
                    <a:stretch>
                      <a:fillRect/>
                    </a:stretch>
                  </pic:blipFill>
                  <pic:spPr>
                    <a:xfrm>
                      <a:off x="0" y="0"/>
                      <a:ext cx="5268595" cy="784796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66055" cy="1995170"/>
            <wp:effectExtent l="0" t="0" r="4445" b="1143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3"/>
                    <a:stretch>
                      <a:fillRect/>
                    </a:stretch>
                  </pic:blipFill>
                  <pic:spPr>
                    <a:xfrm>
                      <a:off x="0" y="0"/>
                      <a:ext cx="5266055" cy="19951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544185" cy="2894965"/>
            <wp:effectExtent l="0" t="0" r="5715" b="63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4"/>
                    <a:stretch>
                      <a:fillRect/>
                    </a:stretch>
                  </pic:blipFill>
                  <pic:spPr>
                    <a:xfrm>
                      <a:off x="0" y="0"/>
                      <a:ext cx="5544185" cy="289496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6690" cy="4306570"/>
            <wp:effectExtent l="0" t="0" r="3810" b="1143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5"/>
                    <a:stretch>
                      <a:fillRect/>
                    </a:stretch>
                  </pic:blipFill>
                  <pic:spPr>
                    <a:xfrm>
                      <a:off x="0" y="0"/>
                      <a:ext cx="5266690" cy="43065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230" cy="3042285"/>
            <wp:effectExtent l="0" t="0" r="1270" b="571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6"/>
                    <a:stretch>
                      <a:fillRect/>
                    </a:stretch>
                  </pic:blipFill>
                  <pic:spPr>
                    <a:xfrm>
                      <a:off x="0" y="0"/>
                      <a:ext cx="5269230" cy="30422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widowControl/>
        <w:spacing w:line="600" w:lineRule="exact"/>
        <w:ind w:firstLine="640"/>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br w:type="page"/>
      </w:r>
    </w:p>
    <w:p>
      <w:pPr>
        <w:widowControl/>
        <w:spacing w:line="6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决算情况说明</w:t>
      </w:r>
    </w:p>
    <w:p>
      <w:pPr>
        <w:ind w:firstLine="630"/>
        <w:jc w:val="left"/>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年度收入总计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万元，其中年初结转和结余</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568.38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20.15</w:t>
      </w:r>
      <w:r>
        <w:rPr>
          <w:rFonts w:hint="eastAsia" w:ascii="仿宋_GB2312" w:hAnsi="仿宋_GB2312" w:eastAsia="仿宋_GB2312"/>
          <w:color w:val="auto"/>
          <w:sz w:val="32"/>
          <w:szCs w:val="32"/>
        </w:rPr>
        <w:t>%；本年收入合计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568.38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20.15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本年财力减少</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本年收入的具体构成为：财政拨款收入</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年度支出总计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万元，其中本年支出合计</w:t>
      </w:r>
      <w:r>
        <w:rPr>
          <w:rFonts w:hint="eastAsia" w:ascii="仿宋_GB2312" w:hAnsi="仿宋_GB2312" w:eastAsia="仿宋_GB2312"/>
          <w:color w:val="auto"/>
          <w:sz w:val="32"/>
          <w:szCs w:val="32"/>
          <w:lang w:val="en-US" w:eastAsia="zh-CN"/>
        </w:rPr>
        <w:t>2252.26</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568.38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20.15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厉行节俭，支出缩减</w:t>
      </w:r>
      <w:r>
        <w:rPr>
          <w:rFonts w:hint="eastAsia" w:ascii="仿宋_GB2312" w:hAnsi="仿宋_GB2312" w:eastAsia="仿宋_GB2312"/>
          <w:color w:val="auto"/>
          <w:sz w:val="32"/>
          <w:szCs w:val="32"/>
        </w:rPr>
        <w:t>；年末结转和结余</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本年支出的具体构成为：基本支出</w:t>
      </w:r>
      <w:r>
        <w:rPr>
          <w:rFonts w:hint="eastAsia" w:ascii="仿宋_GB2312" w:hAnsi="仿宋_GB2312" w:eastAsia="仿宋_GB2312"/>
          <w:color w:val="auto"/>
          <w:sz w:val="32"/>
          <w:szCs w:val="32"/>
          <w:lang w:val="en-US" w:eastAsia="zh-CN"/>
        </w:rPr>
        <w:t>1269.28</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61</w:t>
      </w:r>
      <w:r>
        <w:rPr>
          <w:rFonts w:hint="eastAsia" w:ascii="仿宋_GB2312" w:hAnsi="仿宋_GB2312" w:eastAsia="仿宋_GB2312"/>
          <w:color w:val="auto"/>
          <w:sz w:val="32"/>
          <w:szCs w:val="32"/>
        </w:rPr>
        <w:t>%；项目支出</w:t>
      </w:r>
      <w:r>
        <w:rPr>
          <w:rFonts w:hint="eastAsia" w:ascii="仿宋_GB2312" w:hAnsi="仿宋_GB2312" w:eastAsia="仿宋_GB2312"/>
          <w:color w:val="auto"/>
          <w:sz w:val="32"/>
          <w:szCs w:val="32"/>
          <w:lang w:val="en-US" w:eastAsia="zh-CN"/>
        </w:rPr>
        <w:t>883.34</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39</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年度财政拨款本年支出年初预算数为</w:t>
      </w:r>
      <w:r>
        <w:rPr>
          <w:rFonts w:hint="eastAsia" w:ascii="仿宋_GB2312" w:hAnsi="仿宋_GB2312" w:eastAsia="仿宋_GB2312"/>
          <w:color w:val="auto"/>
          <w:sz w:val="32"/>
          <w:szCs w:val="32"/>
          <w:lang w:val="en-US" w:eastAsia="zh-CN"/>
        </w:rPr>
        <w:t>3850.3</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2252.62</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59</w:t>
      </w:r>
      <w:r>
        <w:rPr>
          <w:rFonts w:hint="eastAsia" w:ascii="仿宋_GB2312" w:hAnsi="仿宋_GB2312" w:eastAsia="仿宋_GB2312"/>
          <w:color w:val="auto"/>
          <w:sz w:val="32"/>
          <w:szCs w:val="32"/>
        </w:rPr>
        <w:t>%。其中：</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（一）</w:t>
      </w:r>
      <w:r>
        <w:rPr>
          <w:rFonts w:hint="eastAsia" w:ascii="仿宋_GB2312" w:hAnsi="仿宋_GB2312" w:eastAsia="仿宋_GB2312" w:cs="仿宋_GB2312"/>
          <w:color w:val="auto"/>
          <w:kern w:val="0"/>
          <w:sz w:val="32"/>
          <w:szCs w:val="32"/>
          <w:lang w:val="en-US" w:eastAsia="zh-CN"/>
        </w:rPr>
        <w:t>一般公共服务</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765.83</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903.44</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118</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增加三保支出</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二）社会保障和就业</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81</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28.65</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35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年初列支过大，未完成年初预算</w:t>
      </w:r>
      <w:r>
        <w:rPr>
          <w:rFonts w:hint="eastAsia" w:ascii="仿宋_GB2312" w:hAnsi="仿宋_GB2312" w:eastAsia="仿宋_GB2312"/>
          <w:color w:val="auto"/>
          <w:sz w:val="32"/>
          <w:szCs w:val="32"/>
        </w:rPr>
        <w:t>。</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三）卫生健康</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35</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15</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43</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调整了年初预算。</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四）城乡社区</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2794.33</w:t>
      </w:r>
      <w:r>
        <w:rPr>
          <w:rFonts w:hint="eastAsia" w:ascii="仿宋_GB2312" w:hAnsi="仿宋_GB2312" w:eastAsia="仿宋_GB2312"/>
          <w:color w:val="auto"/>
          <w:sz w:val="32"/>
          <w:szCs w:val="32"/>
        </w:rPr>
        <w:t>万元</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年初预算未列支，调整了年初预算。</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五）农林水</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2653</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494</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19</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本年项目支出减少。</w:t>
      </w:r>
    </w:p>
    <w:p>
      <w:pPr>
        <w:keepNext w:val="0"/>
        <w:keepLines w:val="0"/>
        <w:pageBreakBefore w:val="0"/>
        <w:numPr>
          <w:ilvl w:val="0"/>
          <w:numId w:val="0"/>
        </w:numPr>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六）住房保障</w:t>
      </w:r>
      <w:r>
        <w:rPr>
          <w:rFonts w:hint="eastAsia" w:ascii="仿宋_GB2312" w:hAnsi="仿宋_GB2312" w:eastAsia="仿宋_GB2312"/>
          <w:color w:val="auto"/>
          <w:sz w:val="32"/>
          <w:szCs w:val="32"/>
          <w:lang w:val="en-US" w:eastAsia="zh-CN"/>
        </w:rPr>
        <w:t>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91</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16.88</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18.5</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调整了年初预算</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年度一般公共预算财政拨款基本支出</w:t>
      </w:r>
      <w:r>
        <w:rPr>
          <w:rFonts w:hint="eastAsia" w:ascii="仿宋_GB2312" w:hAnsi="仿宋_GB2312" w:eastAsia="仿宋_GB2312"/>
          <w:color w:val="auto"/>
          <w:sz w:val="32"/>
          <w:szCs w:val="32"/>
          <w:lang w:val="en-US" w:eastAsia="zh-CN"/>
        </w:rPr>
        <w:t>1369.28</w:t>
      </w:r>
      <w:r>
        <w:rPr>
          <w:rFonts w:hint="eastAsia" w:ascii="仿宋_GB2312" w:hAnsi="仿宋_GB2312" w:eastAsia="仿宋_GB2312"/>
          <w:color w:val="auto"/>
          <w:sz w:val="32"/>
          <w:szCs w:val="32"/>
        </w:rPr>
        <w:t>万元，其中：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（一）工资福利支出</w:t>
      </w:r>
      <w:r>
        <w:rPr>
          <w:rFonts w:hint="eastAsia" w:ascii="仿宋_GB2312" w:hAnsi="仿宋_GB2312" w:eastAsia="仿宋_GB2312"/>
          <w:color w:val="auto"/>
          <w:sz w:val="32"/>
          <w:szCs w:val="32"/>
          <w:lang w:val="en-US" w:eastAsia="zh-CN"/>
        </w:rPr>
        <w:t>904.31</w:t>
      </w:r>
      <w:r>
        <w:rPr>
          <w:rFonts w:hint="eastAsia" w:ascii="仿宋_GB2312" w:hAnsi="仿宋_GB2312" w:eastAsia="仿宋_GB2312"/>
          <w:color w:val="auto"/>
          <w:sz w:val="32"/>
          <w:szCs w:val="32"/>
        </w:rPr>
        <w:t>万元。</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（二）商品和服务支出</w:t>
      </w:r>
      <w:r>
        <w:rPr>
          <w:rFonts w:hint="eastAsia" w:ascii="仿宋_GB2312" w:hAnsi="仿宋_GB2312" w:eastAsia="仿宋_GB2312"/>
          <w:color w:val="auto"/>
          <w:sz w:val="32"/>
          <w:szCs w:val="32"/>
          <w:lang w:val="en-US" w:eastAsia="zh-CN"/>
        </w:rPr>
        <w:t>252.32</w:t>
      </w:r>
      <w:r>
        <w:rPr>
          <w:rFonts w:hint="eastAsia" w:ascii="仿宋_GB2312" w:hAnsi="仿宋_GB2312" w:eastAsia="仿宋_GB2312"/>
          <w:color w:val="auto"/>
          <w:sz w:val="32"/>
          <w:szCs w:val="32"/>
        </w:rPr>
        <w:t>万元。</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（三）对个人和家庭补助支出</w:t>
      </w:r>
      <w:r>
        <w:rPr>
          <w:rFonts w:hint="eastAsia" w:ascii="仿宋_GB2312" w:hAnsi="仿宋_GB2312" w:eastAsia="仿宋_GB2312"/>
          <w:color w:val="auto"/>
          <w:sz w:val="32"/>
          <w:szCs w:val="32"/>
          <w:lang w:val="en-US" w:eastAsia="zh-CN"/>
        </w:rPr>
        <w:t>119.65</w:t>
      </w:r>
      <w:r>
        <w:rPr>
          <w:rFonts w:hint="eastAsia" w:ascii="仿宋_GB2312" w:hAnsi="仿宋_GB2312" w:eastAsia="仿宋_GB2312"/>
          <w:color w:val="auto"/>
          <w:sz w:val="32"/>
          <w:szCs w:val="32"/>
        </w:rPr>
        <w:t>万元。</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（四）资本性支出</w:t>
      </w:r>
      <w:r>
        <w:rPr>
          <w:rFonts w:hint="eastAsia" w:ascii="仿宋_GB2312" w:hAnsi="仿宋_GB2312" w:eastAsia="仿宋_GB2312"/>
          <w:color w:val="auto"/>
          <w:sz w:val="32"/>
          <w:szCs w:val="32"/>
          <w:lang w:val="en-US" w:eastAsia="zh-CN"/>
        </w:rPr>
        <w:t>976.34</w:t>
      </w:r>
      <w:r>
        <w:rPr>
          <w:rFonts w:hint="eastAsia" w:ascii="仿宋_GB2312" w:hAnsi="仿宋_GB2312" w:eastAsia="仿宋_GB2312"/>
          <w:color w:val="auto"/>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27</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17.9</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66.3</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2.92</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14</w:t>
      </w:r>
      <w:r>
        <w:rPr>
          <w:rFonts w:hint="eastAsia" w:ascii="仿宋_GB2312" w:hAnsi="仿宋_GB2312" w:eastAsia="仿宋_GB2312"/>
          <w:color w:val="auto"/>
          <w:sz w:val="32"/>
          <w:szCs w:val="32"/>
        </w:rPr>
        <w:t>%，其中：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一</w:t>
      </w:r>
      <w:r>
        <w:rPr>
          <w:rFonts w:hint="eastAsia" w:ascii="仿宋_GB2312" w:hAnsi="仿宋_GB2312" w:eastAsia="仿宋_GB2312"/>
          <w:color w:val="auto"/>
          <w:sz w:val="32"/>
          <w:szCs w:val="32"/>
        </w:rPr>
        <w:t>）公务接待费支出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15</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6.95</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46.33</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53.5</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主要原因是厉行节俭，支出减少</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减少的主要原因是：</w:t>
      </w:r>
      <w:r>
        <w:rPr>
          <w:rFonts w:hint="eastAsia" w:ascii="仿宋_GB2312" w:hAnsi="仿宋_GB2312" w:eastAsia="仿宋_GB2312" w:cs="Times New Roman"/>
          <w:color w:val="auto"/>
          <w:sz w:val="32"/>
          <w:szCs w:val="32"/>
          <w:lang w:val="en-US" w:eastAsia="zh-CN"/>
        </w:rPr>
        <w:t>厉行节俭，支出减少</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全年国内公务接待116批，累计接待998人次</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（三）公务用车购置及运行维护费支出</w:t>
      </w:r>
      <w:r>
        <w:rPr>
          <w:rFonts w:hint="eastAsia" w:ascii="仿宋_GB2312" w:hAnsi="仿宋_GB2312" w:eastAsia="仿宋_GB2312"/>
          <w:color w:val="auto"/>
          <w:sz w:val="32"/>
          <w:szCs w:val="32"/>
          <w:lang w:val="en-US" w:eastAsia="zh-CN"/>
        </w:rPr>
        <w:t>10.95</w:t>
      </w:r>
      <w:r>
        <w:rPr>
          <w:rFonts w:hint="eastAsia" w:ascii="仿宋_GB2312" w:hAnsi="仿宋_GB2312" w:eastAsia="仿宋_GB2312"/>
          <w:color w:val="auto"/>
          <w:sz w:val="32"/>
          <w:szCs w:val="32"/>
        </w:rPr>
        <w:t>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12</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10.95</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91.25</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5</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86</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主要原因是车辆使用年限过长，修理费用增加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年末公务用车保有2辆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lang w:val="en-US" w:eastAsia="zh-CN"/>
        </w:rPr>
        <w:t>不变</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年度机关运行经费支出</w:t>
      </w:r>
      <w:r>
        <w:rPr>
          <w:rFonts w:hint="eastAsia" w:ascii="仿宋_GB2312" w:hAnsi="仿宋_GB2312" w:eastAsia="仿宋_GB2312"/>
          <w:color w:val="auto"/>
          <w:sz w:val="32"/>
          <w:szCs w:val="32"/>
          <w:lang w:val="en-US" w:eastAsia="zh-CN"/>
        </w:rPr>
        <w:t>234.32</w:t>
      </w:r>
      <w:r>
        <w:rPr>
          <w:rFonts w:hint="eastAsia" w:ascii="仿宋_GB2312" w:hAnsi="仿宋_GB2312" w:eastAsia="仿宋_GB2312"/>
          <w:color w:val="auto"/>
          <w:sz w:val="32"/>
          <w:szCs w:val="32"/>
        </w:rPr>
        <w:t>万元（与部门决算中行政单位和参照公务员法管理事业单位财政拨款基本支出中公用经费之和一致）</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主要原因是：办公设施设备购置经费增加（减少）/资产运行维护支出增加（减少）/信息系统运行维护支出增加（减少）/人员编制数量增加（减少）/落实过紧日子要求压减XX支出/......等（具体增减原因由部门根据实际情况填列）。</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b w:val="0"/>
          <w:bCs w:val="0"/>
          <w:color w:val="auto"/>
          <w:sz w:val="32"/>
          <w:szCs w:val="32"/>
          <w:lang w:eastAsia="zh-CN"/>
        </w:rPr>
      </w:pPr>
      <w:r>
        <w:rPr>
          <w:rFonts w:hint="eastAsia" w:ascii="仿宋_GB2312" w:hAnsi="仿宋_GB2312" w:eastAsia="仿宋_GB2312"/>
          <w:b w:val="0"/>
          <w:bCs w:val="0"/>
          <w:color w:val="auto"/>
          <w:sz w:val="32"/>
          <w:szCs w:val="32"/>
          <w:lang w:val="en-US" w:eastAsia="zh-CN"/>
        </w:rPr>
        <w:t>（若本单位不是</w:t>
      </w:r>
      <w:r>
        <w:rPr>
          <w:rFonts w:hint="eastAsia" w:ascii="仿宋_GB2312" w:hAnsi="仿宋_GB2312" w:eastAsia="仿宋_GB2312"/>
          <w:b w:val="0"/>
          <w:bCs w:val="0"/>
          <w:color w:val="auto"/>
          <w:sz w:val="32"/>
          <w:szCs w:val="32"/>
        </w:rPr>
        <w:t>行政单位</w:t>
      </w:r>
      <w:r>
        <w:rPr>
          <w:rFonts w:hint="eastAsia" w:ascii="仿宋_GB2312" w:hAnsi="仿宋_GB2312" w:eastAsia="仿宋_GB2312"/>
          <w:b w:val="0"/>
          <w:bCs w:val="0"/>
          <w:color w:val="auto"/>
          <w:sz w:val="32"/>
          <w:szCs w:val="32"/>
          <w:lang w:val="en-US" w:eastAsia="zh-CN"/>
        </w:rPr>
        <w:t>或</w:t>
      </w:r>
      <w:r>
        <w:rPr>
          <w:rFonts w:hint="eastAsia" w:ascii="仿宋_GB2312" w:hAnsi="仿宋_GB2312" w:eastAsia="仿宋_GB2312"/>
          <w:b w:val="0"/>
          <w:bCs w:val="0"/>
          <w:color w:val="auto"/>
          <w:sz w:val="32"/>
          <w:szCs w:val="32"/>
        </w:rPr>
        <w:t>参照公务员法管理事业单位</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lang w:val="en-US" w:eastAsia="zh-CN"/>
        </w:rPr>
        <w:t>则按以下格式说明：“本单位不是</w:t>
      </w:r>
      <w:r>
        <w:rPr>
          <w:rFonts w:hint="eastAsia" w:ascii="仿宋_GB2312" w:hAnsi="仿宋_GB2312" w:eastAsia="仿宋_GB2312"/>
          <w:b w:val="0"/>
          <w:bCs w:val="0"/>
          <w:color w:val="auto"/>
          <w:sz w:val="32"/>
          <w:szCs w:val="32"/>
        </w:rPr>
        <w:t>行政单位</w:t>
      </w:r>
      <w:r>
        <w:rPr>
          <w:rFonts w:hint="eastAsia" w:ascii="仿宋_GB2312" w:hAnsi="仿宋_GB2312" w:eastAsia="仿宋_GB2312"/>
          <w:b w:val="0"/>
          <w:bCs w:val="0"/>
          <w:color w:val="auto"/>
          <w:sz w:val="32"/>
          <w:szCs w:val="32"/>
          <w:lang w:val="en-US" w:eastAsia="zh-CN"/>
        </w:rPr>
        <w:t>或</w:t>
      </w:r>
      <w:r>
        <w:rPr>
          <w:rFonts w:hint="eastAsia" w:ascii="仿宋_GB2312" w:hAnsi="仿宋_GB2312" w:eastAsia="仿宋_GB2312"/>
          <w:b w:val="0"/>
          <w:bCs w:val="0"/>
          <w:color w:val="auto"/>
          <w:sz w:val="32"/>
          <w:szCs w:val="32"/>
        </w:rPr>
        <w:t>参照公务员法管理事业单位</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lang w:val="en-US" w:eastAsia="zh-CN"/>
        </w:rPr>
        <w:t>故无机关运行经费支出”）</w:t>
      </w:r>
      <w:r>
        <w:rPr>
          <w:rFonts w:hint="eastAsia" w:ascii="仿宋_GB2312" w:hAnsi="仿宋_GB2312" w:eastAsia="仿宋_GB2312"/>
          <w:b w:val="0"/>
          <w:bCs w:val="0"/>
          <w:color w:val="auto"/>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4"/>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万元，其中：政府采购货物支出</w:t>
      </w:r>
      <w:r>
        <w:rPr>
          <w:rFonts w:hint="eastAsia" w:ascii="仿宋_GB2312" w:hAnsi="仿宋_GB2312" w:eastAsia="仿宋_GB2312"/>
          <w:color w:val="auto"/>
          <w:sz w:val="32"/>
          <w:szCs w:val="32"/>
          <w:lang w:val="en-US" w:eastAsia="zh-CN"/>
        </w:rPr>
        <w:t>3</w:t>
      </w:r>
      <w:r>
        <w:rPr>
          <w:rFonts w:hint="eastAsia" w:ascii="仿宋_GB2312" w:hAnsi="仿宋_GB2312" w:eastAsia="仿宋_GB2312"/>
          <w:color w:val="auto"/>
          <w:sz w:val="32"/>
          <w:szCs w:val="32"/>
        </w:rPr>
        <w:t>万元</w:t>
      </w:r>
      <w:r>
        <w:rPr>
          <w:rFonts w:hint="eastAsia" w:ascii="仿宋_GB2312" w:hAnsi="仿宋_GB2312" w:eastAsia="仿宋_GB2312"/>
          <w:color w:val="auto"/>
          <w:sz w:val="32"/>
          <w:szCs w:val="32"/>
          <w:lang w:val="en-US"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line="600" w:lineRule="exact"/>
        <w:ind w:firstLine="600"/>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w:t>
      </w:r>
      <w:r>
        <w:rPr>
          <w:rFonts w:hint="eastAsia" w:ascii="仿宋_GB2312" w:hAnsi="仿宋_GB2312" w:eastAsia="仿宋_GB2312"/>
          <w:color w:val="auto"/>
          <w:kern w:val="0"/>
          <w:sz w:val="32"/>
          <w:szCs w:val="32"/>
          <w:lang w:val="en-US" w:eastAsia="zh-CN"/>
        </w:rPr>
        <w:t>单位</w:t>
      </w:r>
      <w:r>
        <w:rPr>
          <w:rFonts w:hint="eastAsia" w:ascii="仿宋_GB2312" w:hAnsi="仿宋_GB2312" w:eastAsia="仿宋_GB2312"/>
          <w:color w:val="auto"/>
          <w:kern w:val="0"/>
          <w:sz w:val="32"/>
          <w:szCs w:val="32"/>
        </w:rPr>
        <w:t>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表《国有资产占用情况表》。其中车辆中的其他用车主要是</w:t>
      </w:r>
      <w:r>
        <w:rPr>
          <w:rFonts w:ascii="仿宋_GB2312" w:hAnsi="仿宋_GB2312" w:eastAsia="仿宋_GB2312"/>
          <w:color w:val="auto"/>
          <w:kern w:val="0"/>
          <w:sz w:val="32"/>
          <w:szCs w:val="32"/>
        </w:rPr>
        <w:t>……</w:t>
      </w:r>
      <w:r>
        <w:rPr>
          <w:rFonts w:hint="eastAsia" w:ascii="仿宋_GB2312" w:hAnsi="仿宋_GB2312" w:eastAsia="仿宋_GB2312"/>
          <w:color w:val="auto"/>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（一）绩效</w:t>
      </w:r>
      <w:r>
        <w:rPr>
          <w:rFonts w:hint="eastAsia" w:ascii="仿宋_GB2312" w:hAnsi="仿宋_GB2312" w:eastAsia="仿宋_GB2312" w:cs="仿宋_GB2312"/>
          <w:b/>
          <w:bCs/>
          <w:color w:val="FF0000"/>
          <w:kern w:val="0"/>
          <w:sz w:val="32"/>
          <w:szCs w:val="32"/>
          <w:lang w:val="en-US" w:eastAsia="zh-CN"/>
        </w:rPr>
        <w:t>评价</w:t>
      </w:r>
      <w:r>
        <w:rPr>
          <w:rFonts w:hint="eastAsia" w:ascii="仿宋_GB2312" w:hAnsi="仿宋_GB2312" w:eastAsia="仿宋_GB2312" w:cs="仿宋_GB2312"/>
          <w:color w:val="auto"/>
          <w:kern w:val="0"/>
          <w:sz w:val="32"/>
          <w:szCs w:val="32"/>
        </w:rPr>
        <w:t>工作开展情况。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根据预算绩效管理要求，我</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组织对</w:t>
      </w:r>
      <w:r>
        <w:rPr>
          <w:rFonts w:hint="eastAsia" w:ascii="仿宋_GB2312" w:hAnsi="仿宋_GB2312" w:eastAsia="仿宋_GB2312" w:cs="仿宋_GB2312"/>
          <w:color w:val="auto"/>
          <w:kern w:val="0"/>
          <w:sz w:val="32"/>
          <w:szCs w:val="32"/>
          <w:lang w:val="en-US" w:eastAsia="zh-CN"/>
        </w:rPr>
        <w:t>纳入</w:t>
      </w: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lang w:val="en-US" w:eastAsia="zh-CN"/>
        </w:rPr>
        <w:t>部门预算范围的二级项目</w:t>
      </w:r>
      <w:r>
        <w:rPr>
          <w:rFonts w:hint="eastAsia" w:ascii="仿宋_GB2312" w:hAnsi="仿宋_GB2312" w:eastAsia="仿宋_GB2312" w:cs="Times New Roman"/>
          <w:color w:val="auto"/>
          <w:kern w:val="0"/>
          <w:sz w:val="32"/>
          <w:szCs w:val="32"/>
          <w:lang w:val="en-US" w:eastAsia="zh-CN"/>
        </w:rPr>
        <w:t>7个</w:t>
      </w:r>
      <w:r>
        <w:rPr>
          <w:rFonts w:hint="eastAsia" w:ascii="仿宋_GB2312" w:hAnsi="仿宋_GB2312" w:eastAsia="仿宋_GB2312" w:cs="Times New Roman"/>
          <w:color w:val="auto"/>
          <w:kern w:val="0"/>
          <w:sz w:val="32"/>
          <w:szCs w:val="32"/>
        </w:rPr>
        <w:t xml:space="preserve">全面开展绩效自评，共涉及资金  </w:t>
      </w:r>
      <w:r>
        <w:rPr>
          <w:rFonts w:hint="eastAsia" w:ascii="仿宋_GB2312" w:hAnsi="仿宋_GB2312" w:eastAsia="仿宋_GB2312" w:cs="Times New Roman"/>
          <w:color w:val="auto"/>
          <w:kern w:val="0"/>
          <w:sz w:val="32"/>
          <w:szCs w:val="32"/>
          <w:lang w:val="en-US" w:eastAsia="zh-CN"/>
        </w:rPr>
        <w:t>3720.17</w:t>
      </w:r>
      <w:r>
        <w:rPr>
          <w:rFonts w:hint="eastAsia" w:ascii="仿宋_GB2312" w:hAnsi="仿宋_GB2312" w:eastAsia="仿宋_GB2312" w:cs="Times New Roman"/>
          <w:color w:val="auto"/>
          <w:kern w:val="0"/>
          <w:sz w:val="32"/>
          <w:szCs w:val="32"/>
        </w:rPr>
        <w:t>万元，占项目支出总额的</w:t>
      </w:r>
      <w:r>
        <w:rPr>
          <w:rFonts w:hint="eastAsia" w:ascii="仿宋_GB2312" w:hAnsi="仿宋_GB2312" w:eastAsia="仿宋_GB2312" w:cs="Times New Roman"/>
          <w:color w:val="auto"/>
          <w:kern w:val="0"/>
          <w:sz w:val="32"/>
          <w:szCs w:val="32"/>
          <w:lang w:val="en-US" w:eastAsia="zh-CN"/>
        </w:rPr>
        <w:t>400</w:t>
      </w:r>
      <w:r>
        <w:rPr>
          <w:rFonts w:hint="eastAsia" w:ascii="仿宋_GB2312" w:hAnsi="仿宋_GB2312" w:eastAsia="仿宋_GB2312" w:cs="Times New Roman"/>
          <w:color w:val="auto"/>
          <w:kern w:val="0"/>
          <w:sz w:val="32"/>
          <w:szCs w:val="32"/>
        </w:rPr>
        <w:t>%。</w:t>
      </w:r>
      <w:bookmarkStart w:id="0" w:name="_GoBack"/>
      <w:bookmarkEnd w:id="0"/>
      <w:r>
        <w:rPr>
          <w:rFonts w:hint="eastAsia" w:ascii="仿宋_GB2312" w:hAnsi="仿宋_GB2312" w:eastAsia="仿宋_GB2312" w:cs="仿宋_GB2312"/>
          <w:color w:val="auto"/>
          <w:kern w:val="0"/>
          <w:sz w:val="32"/>
          <w:szCs w:val="32"/>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二）单位</w:t>
      </w:r>
      <w:r>
        <w:rPr>
          <w:rFonts w:hint="eastAsia" w:ascii="仿宋_GB2312" w:hAnsi="仿宋_GB2312" w:eastAsia="仿宋_GB2312" w:cs="仿宋_GB2312"/>
          <w:color w:val="auto"/>
          <w:kern w:val="0"/>
          <w:sz w:val="32"/>
          <w:szCs w:val="32"/>
        </w:rPr>
        <w:t>决算中项目绩效自评</w:t>
      </w:r>
      <w:r>
        <w:rPr>
          <w:rFonts w:hint="eastAsia" w:ascii="仿宋_GB2312" w:hAnsi="仿宋_GB2312" w:eastAsia="仿宋_GB2312" w:cs="仿宋_GB2312"/>
          <w:color w:val="auto"/>
          <w:kern w:val="0"/>
          <w:sz w:val="32"/>
          <w:szCs w:val="32"/>
          <w:lang w:val="en-US" w:eastAsia="zh-CN"/>
        </w:rPr>
        <w:t>结果</w:t>
      </w:r>
      <w:r>
        <w:rPr>
          <w:rFonts w:hint="eastAsia" w:ascii="仿宋_GB2312" w:hAnsi="仿宋_GB2312" w:eastAsia="仿宋_GB2312" w:cs="仿宋_GB2312"/>
          <w:color w:val="auto"/>
          <w:kern w:val="0"/>
          <w:sz w:val="32"/>
          <w:szCs w:val="32"/>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将2022年度《项目支出绩效自评表》（自选1个项目）进行公开。</w:t>
      </w:r>
    </w:p>
    <w:p>
      <w:pPr>
        <w:autoSpaceDE w:val="0"/>
        <w:autoSpaceDN w:val="0"/>
        <w:adjustRightInd w:val="0"/>
        <w:spacing w:line="360" w:lineRule="auto"/>
        <w:ind w:firstLine="6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第四部分  名词解释</w:t>
      </w:r>
    </w:p>
    <w:p>
      <w:pPr>
        <w:pStyle w:val="4"/>
        <w:keepNext w:val="0"/>
        <w:keepLines w:val="0"/>
        <w:pageBreakBefore w:val="0"/>
        <w:wordWrap/>
        <w:overflowPunct/>
        <w:topLinePunct w:val="0"/>
        <w:bidi w:val="0"/>
        <w:spacing w:line="600" w:lineRule="exact"/>
        <w:ind w:firstLine="600"/>
        <w:jc w:val="both"/>
        <w:rPr>
          <w:rFonts w:hint="eastAsia" w:ascii="仿宋_GB2312" w:hAns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b/>
          <w:bCs/>
          <w:color w:val="FF0000"/>
          <w:kern w:val="0"/>
          <w:sz w:val="32"/>
          <w:szCs w:val="32"/>
          <w:lang w:val="en-US" w:eastAsia="zh-CN"/>
        </w:rPr>
        <w:t>应对报表项目、政府收支分类科目进行适当说明。</w:t>
      </w:r>
      <w:r>
        <w:rPr>
          <w:rFonts w:hint="eastAsia" w:ascii="仿宋_GB2312" w:hAnsi="仿宋_GB2312" w:eastAsia="仿宋_GB2312"/>
          <w:b w:val="0"/>
          <w:bCs w:val="0"/>
          <w:color w:val="auto"/>
          <w:kern w:val="0"/>
          <w:sz w:val="32"/>
          <w:szCs w:val="32"/>
          <w:lang w:val="en-US" w:eastAsia="zh-CN"/>
        </w:rPr>
        <w:t>（</w:t>
      </w:r>
      <w:r>
        <w:rPr>
          <w:rFonts w:hint="eastAsia" w:ascii="仿宋_GB2312" w:hAnsi="仿宋_GB2312" w:eastAsia="仿宋_GB2312"/>
          <w:color w:val="auto"/>
          <w:kern w:val="0"/>
          <w:sz w:val="32"/>
          <w:szCs w:val="32"/>
        </w:rPr>
        <w:t>以财务会计制度、政府收支分类科目以及部门预算管理等规定为</w:t>
      </w:r>
      <w:r>
        <w:rPr>
          <w:rFonts w:hint="eastAsia" w:ascii="仿宋_GB2312" w:hAnsi="仿宋_GB2312" w:eastAsia="仿宋_GB2312"/>
          <w:color w:val="auto"/>
          <w:kern w:val="0"/>
          <w:sz w:val="32"/>
          <w:szCs w:val="32"/>
          <w:lang w:val="en-US" w:eastAsia="zh-CN"/>
        </w:rPr>
        <w:t>准</w:t>
      </w:r>
      <w:r>
        <w:rPr>
          <w:rFonts w:hint="eastAsia" w:ascii="仿宋_GB2312" w:hAnsi="仿宋_GB2312" w:eastAsia="仿宋_GB2312"/>
          <w:color w:val="auto"/>
          <w:kern w:val="0"/>
          <w:sz w:val="32"/>
          <w:szCs w:val="32"/>
        </w:rPr>
        <w:t>，可结合部门实际情况适当细化</w:t>
      </w:r>
      <w:r>
        <w:rPr>
          <w:rFonts w:hint="eastAsia" w:ascii="仿宋_GB2312" w:hAnsi="仿宋_GB2312"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b w:val="0"/>
          <w:bCs w:val="0"/>
          <w:color w:val="auto"/>
          <w:kern w:val="0"/>
          <w:sz w:val="32"/>
          <w:szCs w:val="32"/>
        </w:rPr>
        <w:t>“三公”经费支出和机关运行经费支出口径</w:t>
      </w:r>
      <w:r>
        <w:rPr>
          <w:rFonts w:hint="eastAsia" w:ascii="仿宋_GB2312" w:hAnsi="仿宋_GB2312" w:eastAsia="仿宋_GB2312"/>
          <w:b w:val="0"/>
          <w:bCs w:val="0"/>
          <w:color w:val="auto"/>
          <w:kern w:val="0"/>
          <w:sz w:val="32"/>
          <w:szCs w:val="32"/>
          <w:lang w:val="en-US" w:eastAsia="zh-CN"/>
        </w:rPr>
        <w:t>必须</w:t>
      </w:r>
      <w:r>
        <w:rPr>
          <w:rFonts w:hint="eastAsia" w:ascii="仿宋_GB2312" w:hAnsi="仿宋_GB2312" w:eastAsia="仿宋_GB2312"/>
          <w:b w:val="0"/>
          <w:bCs w:val="0"/>
          <w:color w:val="auto"/>
          <w:kern w:val="0"/>
          <w:sz w:val="32"/>
          <w:szCs w:val="32"/>
        </w:rPr>
        <w:t>予以说</w:t>
      </w:r>
      <w:r>
        <w:rPr>
          <w:rFonts w:hint="eastAsia" w:ascii="仿宋_GB2312" w:hAnsi="仿宋_GB2312" w:eastAsia="仿宋_GB2312"/>
          <w:b w:val="0"/>
          <w:bCs w:val="0"/>
          <w:color w:val="auto"/>
          <w:kern w:val="0"/>
          <w:sz w:val="32"/>
          <w:szCs w:val="32"/>
          <w:lang w:val="en-US" w:eastAsia="zh-CN"/>
        </w:rPr>
        <w:t>明</w:t>
      </w:r>
      <w:r>
        <w:rPr>
          <w:rFonts w:hint="eastAsia" w:ascii="仿宋_GB2312" w:hAnsi="仿宋_GB2312" w:eastAsia="仿宋_GB2312"/>
          <w:color w:val="auto"/>
          <w:kern w:val="0"/>
          <w:sz w:val="32"/>
          <w:szCs w:val="32"/>
          <w:lang w:val="en-US" w:eastAsia="zh-CN"/>
        </w:rPr>
        <w:t>（可参照如下格式进行说明）：</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“三公”经费支出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kern w:val="0"/>
          <w:sz w:val="32"/>
          <w:szCs w:val="32"/>
        </w:rPr>
        <w:t>机关运行经费支出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方正姚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ZjIxNzcxM2Y3OGZlMWUzYjQyMTMyY2RjYzYxM2QifQ=="/>
  </w:docVars>
  <w:rsids>
    <w:rsidRoot w:val="6D7D6800"/>
    <w:rsid w:val="48547564"/>
    <w:rsid w:val="6D7D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emf"/><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cp:lastModifiedBy>
  <dcterms:modified xsi:type="dcterms:W3CDTF">2023-11-21T08:14:07Z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8CBA3FE70C194A54B8383F1B1CD285FB_12</vt:lpwstr>
  </property>
</Properties>
</file>