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firstLineChars="200"/>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进贤县</w:t>
      </w:r>
      <w:r>
        <w:rPr>
          <w:rFonts w:hint="eastAsia" w:ascii="宋体" w:hAnsi="宋体" w:cs="宋体"/>
          <w:b/>
          <w:bCs/>
          <w:sz w:val="52"/>
          <w:szCs w:val="52"/>
          <w:lang w:val="en-US" w:eastAsia="zh-CN"/>
        </w:rPr>
        <w:t>采茶剧团有限责任公司</w:t>
      </w:r>
      <w:r>
        <w:rPr>
          <w:rFonts w:hint="eastAsia" w:ascii="宋体" w:hAnsi="宋体" w:eastAsia="宋体" w:cs="宋体"/>
          <w:b/>
          <w:bCs/>
          <w:sz w:val="52"/>
          <w:szCs w:val="52"/>
          <w:lang w:val="en-US" w:eastAsia="zh-CN"/>
        </w:rPr>
        <w:t>2022年度部门决算</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ind w:firstLine="3534" w:firstLineChars="1100"/>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填报单位（公章）：</w:t>
      </w:r>
      <w:r>
        <w:rPr>
          <w:rFonts w:hint="eastAsia" w:ascii="宋体" w:hAnsi="宋体" w:cs="宋体"/>
          <w:b/>
          <w:bCs/>
          <w:sz w:val="32"/>
          <w:szCs w:val="32"/>
          <w:lang w:val="en-US" w:eastAsia="zh-CN"/>
        </w:rPr>
        <w:t>进贤县采茶剧团有限责任公司</w:t>
      </w:r>
    </w:p>
    <w:p>
      <w:pPr>
        <w:ind w:firstLine="5461" w:firstLineChars="1700"/>
        <w:rPr>
          <w:rFonts w:hint="eastAsia" w:ascii="宋体" w:hAnsi="宋体" w:eastAsia="宋体" w:cs="宋体"/>
          <w:b/>
          <w:bCs/>
          <w:sz w:val="32"/>
          <w:szCs w:val="32"/>
          <w:lang w:val="en-US" w:eastAsia="zh-CN"/>
        </w:rPr>
      </w:pPr>
    </w:p>
    <w:p>
      <w:pPr>
        <w:ind w:firstLine="3534" w:firstLineChars="11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上报日期： </w:t>
      </w:r>
      <w:r>
        <w:rPr>
          <w:rFonts w:hint="eastAsia" w:ascii="宋体" w:hAnsi="宋体" w:cs="宋体"/>
          <w:b/>
          <w:bCs/>
          <w:sz w:val="32"/>
          <w:szCs w:val="32"/>
          <w:lang w:val="en-US" w:eastAsia="zh-CN"/>
        </w:rPr>
        <w:t>2023</w:t>
      </w:r>
      <w:r>
        <w:rPr>
          <w:rFonts w:hint="eastAsia" w:ascii="宋体" w:hAnsi="宋体" w:eastAsia="宋体" w:cs="宋体"/>
          <w:b/>
          <w:bCs/>
          <w:sz w:val="32"/>
          <w:szCs w:val="32"/>
          <w:lang w:val="en-US" w:eastAsia="zh-CN"/>
        </w:rPr>
        <w:t xml:space="preserve"> 年 11月 </w:t>
      </w:r>
      <w:r>
        <w:rPr>
          <w:rFonts w:hint="eastAsia" w:ascii="宋体" w:hAnsi="宋体" w:cs="宋体"/>
          <w:b/>
          <w:bCs/>
          <w:sz w:val="32"/>
          <w:szCs w:val="32"/>
          <w:lang w:val="en-US" w:eastAsia="zh-CN"/>
        </w:rPr>
        <w:t>28</w:t>
      </w:r>
      <w:r>
        <w:rPr>
          <w:rFonts w:hint="eastAsia" w:ascii="宋体" w:hAnsi="宋体" w:eastAsia="宋体" w:cs="宋体"/>
          <w:b/>
          <w:bCs/>
          <w:sz w:val="32"/>
          <w:szCs w:val="32"/>
          <w:lang w:val="en-US" w:eastAsia="zh-CN"/>
        </w:rPr>
        <w:t xml:space="preserve"> 日</w:t>
      </w:r>
    </w:p>
    <w:p>
      <w:pPr>
        <w:ind w:firstLine="4819" w:firstLineChars="1500"/>
        <w:rPr>
          <w:rFonts w:hint="eastAsia" w:ascii="宋体" w:hAnsi="宋体" w:eastAsia="宋体" w:cs="宋体"/>
          <w:b/>
          <w:bCs/>
          <w:sz w:val="32"/>
          <w:szCs w:val="32"/>
          <w:lang w:val="en-US" w:eastAsia="zh-CN"/>
        </w:rPr>
      </w:pPr>
    </w:p>
    <w:p>
      <w:pPr>
        <w:ind w:firstLine="4819" w:firstLineChars="1500"/>
        <w:rPr>
          <w:rFonts w:hint="eastAsia" w:ascii="宋体" w:hAnsi="宋体" w:eastAsia="宋体" w:cs="宋体"/>
          <w:b/>
          <w:bCs/>
          <w:sz w:val="32"/>
          <w:szCs w:val="32"/>
          <w:lang w:val="en-US" w:eastAsia="zh-CN"/>
        </w:rPr>
      </w:pPr>
    </w:p>
    <w:p>
      <w:pPr>
        <w:rPr>
          <w:rFonts w:hint="eastAsia" w:ascii="宋体" w:hAnsi="宋体" w:eastAsia="宋体" w:cs="宋体"/>
          <w:lang w:val="en-US" w:eastAsia="zh-CN"/>
        </w:rPr>
      </w:pPr>
    </w:p>
    <w:p>
      <w:pPr>
        <w:rPr>
          <w:rFonts w:hint="eastAsia"/>
          <w:lang w:val="en-US" w:eastAsia="zh-CN"/>
        </w:rPr>
      </w:pPr>
    </w:p>
    <w:p>
      <w:pPr>
        <w:ind w:firstLine="1470" w:firstLineChars="700"/>
        <w:rPr>
          <w:rFonts w:hint="default"/>
          <w:b/>
          <w:bCs/>
          <w:sz w:val="28"/>
          <w:szCs w:val="28"/>
          <w:lang w:val="en-US" w:eastAsia="zh-CN"/>
        </w:rPr>
      </w:pPr>
      <w:r>
        <w:rPr>
          <w:rFonts w:hint="eastAsia"/>
          <w:lang w:val="en-US" w:eastAsia="zh-CN"/>
        </w:rPr>
        <w:t xml:space="preserve"> </w:t>
      </w:r>
      <w:r>
        <w:rPr>
          <w:rFonts w:hint="eastAsia"/>
          <w:b/>
          <w:bCs/>
          <w:sz w:val="28"/>
          <w:szCs w:val="28"/>
          <w:lang w:val="en-US" w:eastAsia="zh-CN"/>
        </w:rPr>
        <w:t>单位负责人：                    财务负责人：                   填表人：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z w:val="32"/>
          <w:szCs w:val="32"/>
          <w:lang w:val="en-US" w:eastAsia="zh-CN"/>
        </w:rPr>
        <w:sectPr>
          <w:headerReference r:id="rId5" w:type="default"/>
          <w:footerReference r:id="rId6" w:type="default"/>
          <w:pgSz w:w="16838" w:h="11906" w:orient="landscape"/>
          <w:pgMar w:top="1800" w:right="1440" w:bottom="1800" w:left="144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z w:val="36"/>
          <w:szCs w:val="36"/>
          <w:lang w:val="en-US" w:eastAsia="zh-CN"/>
        </w:rPr>
      </w:pPr>
      <w:r>
        <w:rPr>
          <w:rFonts w:hint="eastAsia" w:ascii="黑体" w:hAnsi="黑体" w:eastAsia="黑体"/>
          <w:b/>
          <w:bCs/>
          <w:color w:val="auto"/>
          <w:sz w:val="36"/>
          <w:szCs w:val="36"/>
          <w:lang w:val="en-US" w:eastAsia="zh-CN"/>
        </w:rPr>
        <w:t>进贤县采茶剧团有限责任公司</w:t>
      </w:r>
      <w:r>
        <w:rPr>
          <w:rFonts w:hint="eastAsia" w:ascii="方正小标宋简体" w:hAnsi="方正小标宋简体" w:eastAsia="方正小标宋简体" w:cs="方正小标宋简体"/>
          <w:b/>
          <w:bCs/>
          <w:color w:val="auto"/>
          <w:sz w:val="36"/>
          <w:szCs w:val="36"/>
        </w:rPr>
        <w:t>202</w:t>
      </w:r>
      <w:r>
        <w:rPr>
          <w:rFonts w:hint="eastAsia" w:ascii="方正小标宋简体" w:hAnsi="方正小标宋简体" w:eastAsia="方正小标宋简体" w:cs="方正小标宋简体"/>
          <w:b/>
          <w:bCs/>
          <w:color w:val="auto"/>
          <w:sz w:val="36"/>
          <w:szCs w:val="36"/>
          <w:lang w:val="en-US" w:eastAsia="zh-CN"/>
        </w:rPr>
        <w:t>2</w:t>
      </w:r>
      <w:r>
        <w:rPr>
          <w:rFonts w:hint="eastAsia" w:ascii="方正小标宋简体" w:hAnsi="方正小标宋简体" w:eastAsia="方正小标宋简体" w:cs="方正小标宋简体"/>
          <w:b/>
          <w:bCs/>
          <w:color w:val="auto"/>
          <w:sz w:val="36"/>
          <w:szCs w:val="36"/>
        </w:rPr>
        <w:t>年度决算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b/>
          <w:bCs/>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color w:val="auto"/>
          <w:sz w:val="32"/>
          <w:szCs w:val="32"/>
        </w:rPr>
        <w:t xml:space="preserve">第一部分 </w:t>
      </w:r>
      <w:r>
        <w:rPr>
          <w:rFonts w:hint="eastAsia" w:ascii="黑体" w:hAnsi="黑体" w:eastAsia="黑体"/>
          <w:b w:val="0"/>
          <w:bCs w:val="0"/>
          <w:color w:val="auto"/>
          <w:sz w:val="32"/>
          <w:szCs w:val="32"/>
          <w:lang w:val="en-US" w:eastAsia="zh-CN"/>
        </w:rPr>
        <w:t>进贤县采茶剧团有限责任公司</w:t>
      </w:r>
      <w:r>
        <w:rPr>
          <w:rFonts w:hint="eastAsia" w:ascii="黑体" w:hAnsi="黑体" w:eastAsia="黑体" w:cs="黑体"/>
          <w:b w:val="0"/>
          <w:bCs w:val="0"/>
          <w:color w:val="auto"/>
          <w:sz w:val="32"/>
          <w:szCs w:val="32"/>
        </w:rPr>
        <w:t>概况</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主要职责</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w:t>
      </w:r>
      <w:r>
        <w:rPr>
          <w:rFonts w:hint="eastAsia" w:ascii="仿宋_GB2312" w:hAnsi="仿宋_GB2312" w:eastAsia="仿宋_GB2312" w:cs="宋体"/>
          <w:color w:val="auto"/>
          <w:kern w:val="0"/>
          <w:sz w:val="32"/>
          <w:szCs w:val="32"/>
          <w:lang w:val="en-US" w:eastAsia="zh-CN"/>
        </w:rPr>
        <w:t>单位</w:t>
      </w:r>
      <w:r>
        <w:rPr>
          <w:rFonts w:hint="eastAsia" w:ascii="仿宋_GB2312" w:hAnsi="仿宋_GB2312" w:eastAsia="仿宋_GB2312" w:cs="宋体"/>
          <w:color w:val="auto"/>
          <w:kern w:val="0"/>
          <w:sz w:val="32"/>
          <w:szCs w:val="32"/>
        </w:rPr>
        <w:t>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 xml:space="preserve">第一部分  </w:t>
      </w:r>
      <w:r>
        <w:rPr>
          <w:rFonts w:hint="eastAsia" w:ascii="宋体" w:hAnsi="宋体" w:eastAsia="宋体" w:cs="宋体"/>
          <w:b/>
          <w:bCs w:val="0"/>
          <w:sz w:val="44"/>
          <w:szCs w:val="44"/>
          <w:lang w:val="en-US" w:eastAsia="zh-CN"/>
        </w:rPr>
        <w:t>进贤县</w:t>
      </w:r>
      <w:r>
        <w:rPr>
          <w:rFonts w:hint="eastAsia" w:ascii="宋体" w:hAnsi="宋体" w:cs="宋体"/>
          <w:b/>
          <w:bCs w:val="0"/>
          <w:sz w:val="44"/>
          <w:szCs w:val="44"/>
          <w:lang w:val="en-US" w:eastAsia="zh-CN"/>
        </w:rPr>
        <w:t>采茶剧团责任公司</w:t>
      </w:r>
      <w:r>
        <w:rPr>
          <w:rFonts w:hint="eastAsia" w:ascii="方正小标宋简体" w:hAnsi="方正小标宋简体" w:eastAsia="方正小标宋简体" w:cs="方正小标宋简体"/>
          <w:b w:val="0"/>
          <w:bCs/>
          <w:color w:val="auto"/>
          <w:sz w:val="44"/>
          <w:szCs w:val="44"/>
        </w:rPr>
        <w:t>概况</w:t>
      </w: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主要职</w:t>
      </w:r>
      <w:r>
        <w:rPr>
          <w:rFonts w:hint="eastAsia" w:ascii="黑体" w:hAnsi="黑体" w:eastAsia="黑体"/>
          <w:color w:val="auto"/>
          <w:sz w:val="32"/>
          <w:szCs w:val="32"/>
          <w:lang w:val="en-US" w:eastAsia="zh-CN"/>
        </w:rPr>
        <w:t>责</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left"/>
        <w:textAlignment w:val="baseline"/>
        <w:rPr>
          <w:rFonts w:hint="eastAsia" w:ascii="宋体" w:hAnsi="宋体" w:eastAsia="宋体" w:cs="宋体"/>
          <w:b w:val="0"/>
          <w:bCs w:val="0"/>
          <w:i w:val="0"/>
          <w:iCs w:val="0"/>
          <w:color w:val="auto"/>
          <w:sz w:val="32"/>
          <w:szCs w:val="32"/>
        </w:rPr>
      </w:pPr>
      <w:r>
        <w:rPr>
          <w:rFonts w:hint="eastAsia" w:ascii="宋体" w:hAnsi="宋体" w:eastAsia="宋体" w:cs="宋体"/>
          <w:b w:val="0"/>
          <w:bCs w:val="0"/>
          <w:i w:val="0"/>
          <w:iCs w:val="0"/>
          <w:caps w:val="0"/>
          <w:color w:val="666666"/>
          <w:spacing w:val="0"/>
          <w:kern w:val="0"/>
          <w:sz w:val="32"/>
          <w:szCs w:val="32"/>
          <w:shd w:val="clear" w:color="auto" w:fill="FFFFFF"/>
          <w:lang w:val="en-US" w:eastAsia="zh-CN" w:bidi="ar"/>
        </w:rPr>
        <w:t>进贤县采茶剧团有限责任公司主要职能是搞好传统古装戏文化宣传、采茶戏演出、丰富进贤县群众文化生活、送戏下乡、活跃农村文化舞台，配合文化局的各项工作，认真宣传党的方针政策，为进贤的文化事业做贡献，配合县委、县政府、县文广新旅局的工作部署，认真完成公益性演出。</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本单位设立1 个内设机构，</w:t>
      </w:r>
      <w:r>
        <w:rPr>
          <w:rFonts w:hint="eastAsia" w:ascii="宋体" w:hAnsi="宋体" w:eastAsia="宋体" w:cs="宋体"/>
          <w:b w:val="0"/>
          <w:bCs w:val="0"/>
          <w:i w:val="0"/>
          <w:iCs w:val="0"/>
          <w:caps w:val="0"/>
          <w:color w:val="666666"/>
          <w:spacing w:val="0"/>
          <w:kern w:val="0"/>
          <w:sz w:val="32"/>
          <w:szCs w:val="32"/>
          <w:shd w:val="clear" w:color="auto" w:fill="FFFFFF"/>
          <w:lang w:val="en-US" w:eastAsia="zh-CN" w:bidi="ar"/>
        </w:rPr>
        <w:t>属事业差额拨款改企单位，人员编制已列入县文化馆中</w:t>
      </w:r>
      <w:r>
        <w:rPr>
          <w:rFonts w:hint="eastAsia" w:ascii="宋体" w:hAnsi="宋体" w:eastAsia="宋体" w:cs="宋体"/>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宋体" w:hAnsi="宋体" w:eastAsia="宋体" w:cs="宋体"/>
          <w:color w:val="auto"/>
          <w:sz w:val="32"/>
          <w:szCs w:val="32"/>
        </w:rPr>
        <w:t>本</w:t>
      </w:r>
      <w:r>
        <w:rPr>
          <w:rFonts w:hint="eastAsia" w:ascii="宋体" w:hAnsi="宋体" w:eastAsia="宋体" w:cs="宋体"/>
          <w:color w:val="auto"/>
          <w:sz w:val="32"/>
          <w:szCs w:val="32"/>
          <w:lang w:val="en-US" w:eastAsia="zh-CN"/>
        </w:rPr>
        <w:t>单位</w:t>
      </w:r>
      <w:r>
        <w:rPr>
          <w:rFonts w:hint="eastAsia" w:ascii="宋体" w:hAnsi="宋体" w:eastAsia="宋体" w:cs="宋体"/>
          <w:color w:val="auto"/>
          <w:sz w:val="32"/>
          <w:szCs w:val="32"/>
        </w:rPr>
        <w:t>202</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年年末实有人数</w:t>
      </w:r>
      <w:r>
        <w:rPr>
          <w:rFonts w:hint="eastAsia" w:ascii="宋体" w:hAnsi="宋体" w:eastAsia="宋体" w:cs="宋体"/>
          <w:color w:val="auto"/>
          <w:sz w:val="32"/>
          <w:szCs w:val="32"/>
          <w:lang w:val="en-US" w:eastAsia="zh-CN"/>
        </w:rPr>
        <w:t>23</w:t>
      </w:r>
      <w:r>
        <w:rPr>
          <w:rFonts w:hint="eastAsia" w:ascii="宋体" w:hAnsi="宋体" w:eastAsia="宋体" w:cs="宋体"/>
          <w:color w:val="auto"/>
          <w:sz w:val="32"/>
          <w:szCs w:val="32"/>
        </w:rPr>
        <w:t>人，其中在职人员</w:t>
      </w:r>
      <w:r>
        <w:rPr>
          <w:rFonts w:hint="eastAsia" w:ascii="宋体" w:hAnsi="宋体" w:eastAsia="宋体" w:cs="宋体"/>
          <w:color w:val="auto"/>
          <w:sz w:val="32"/>
          <w:szCs w:val="32"/>
          <w:lang w:val="en-US" w:eastAsia="zh-CN"/>
        </w:rPr>
        <w:t>23</w:t>
      </w:r>
      <w:r>
        <w:rPr>
          <w:rFonts w:hint="eastAsia" w:ascii="宋体" w:hAnsi="宋体" w:eastAsia="宋体" w:cs="宋体"/>
          <w:color w:val="auto"/>
          <w:sz w:val="32"/>
          <w:szCs w:val="32"/>
        </w:rPr>
        <w:t xml:space="preserve">  人，离休人员</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人，退休人员</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 xml:space="preserve"> 人</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不含</w:t>
      </w:r>
      <w:r>
        <w:rPr>
          <w:rFonts w:hint="eastAsia" w:ascii="宋体" w:hAnsi="宋体" w:eastAsia="宋体" w:cs="宋体"/>
          <w:color w:val="auto"/>
          <w:sz w:val="32"/>
          <w:szCs w:val="32"/>
        </w:rPr>
        <w:t>由养老保险基金发放养老金的离退休人员</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；年末其他人员</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人；年末学生人数</w:t>
      </w:r>
      <w:r>
        <w:rPr>
          <w:rFonts w:hint="eastAsia" w:ascii="宋体" w:hAnsi="宋体" w:eastAsia="宋体" w:cs="宋体"/>
          <w:color w:val="auto"/>
          <w:sz w:val="32"/>
          <w:szCs w:val="32"/>
          <w:lang w:val="en-US" w:eastAsia="zh-CN"/>
        </w:rPr>
        <w:t>0</w:t>
      </w:r>
      <w:r>
        <w:rPr>
          <w:rFonts w:hint="eastAsia" w:ascii="宋体" w:hAnsi="宋体" w:eastAsia="宋体" w:cs="宋体"/>
          <w:color w:val="auto"/>
          <w:sz w:val="32"/>
          <w:szCs w:val="32"/>
        </w:rPr>
        <w:t>人</w:t>
      </w:r>
      <w:r>
        <w:rPr>
          <w:rFonts w:hint="eastAsia" w:ascii="宋体" w:hAnsi="宋体" w:eastAsia="宋体" w:cs="宋体"/>
          <w:color w:val="auto"/>
          <w:sz w:val="32"/>
          <w:szCs w:val="32"/>
          <w:lang w:val="en-US" w:eastAsia="zh-CN"/>
        </w:rPr>
        <w:t>；</w:t>
      </w:r>
      <w:r>
        <w:rPr>
          <w:rFonts w:hint="eastAsia" w:ascii="宋体" w:hAnsi="宋体" w:eastAsia="宋体" w:cs="宋体"/>
          <w:color w:val="auto"/>
          <w:sz w:val="32"/>
          <w:szCs w:val="32"/>
        </w:rPr>
        <w:t>由养老保险基金发放养老金的离退休人员</w:t>
      </w:r>
      <w:r>
        <w:rPr>
          <w:rFonts w:hint="eastAsia" w:ascii="宋体" w:hAnsi="宋体" w:eastAsia="宋体" w:cs="宋体"/>
          <w:color w:val="auto"/>
          <w:sz w:val="32"/>
          <w:szCs w:val="32"/>
          <w:lang w:val="en-US" w:eastAsia="zh-CN"/>
        </w:rPr>
        <w:t>32</w:t>
      </w:r>
      <w:r>
        <w:rPr>
          <w:rFonts w:hint="eastAsia" w:ascii="宋体" w:hAnsi="宋体" w:eastAsia="宋体" w:cs="宋体"/>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决算表</w:t>
      </w:r>
    </w:p>
    <w:p>
      <w:pPr>
        <w:autoSpaceDE w:val="0"/>
        <w:autoSpaceDN w:val="0"/>
        <w:adjustRightInd w:val="0"/>
        <w:spacing w:line="360" w:lineRule="auto"/>
        <w:jc w:val="left"/>
        <w:rPr>
          <w:rFonts w:hint="eastAsia"/>
          <w:color w:val="auto"/>
          <w:szCs w:val="30"/>
        </w:rPr>
      </w:pPr>
    </w:p>
    <w:p>
      <w:pPr>
        <w:autoSpaceDE w:val="0"/>
        <w:autoSpaceDN w:val="0"/>
        <w:adjustRightInd w:val="0"/>
        <w:spacing w:line="360" w:lineRule="auto"/>
        <w:jc w:val="left"/>
        <w:rPr>
          <w:rFonts w:hint="eastAsia"/>
          <w:color w:val="auto"/>
        </w:rPr>
      </w:pPr>
      <w:r>
        <w:drawing>
          <wp:inline distT="0" distB="0" distL="114300" distR="114300">
            <wp:extent cx="6117590" cy="6027420"/>
            <wp:effectExtent l="0" t="0" r="16510"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6117590" cy="6027420"/>
                    </a:xfrm>
                    <a:prstGeom prst="rect">
                      <a:avLst/>
                    </a:prstGeom>
                    <a:noFill/>
                    <a:ln>
                      <a:noFill/>
                    </a:ln>
                  </pic:spPr>
                </pic:pic>
              </a:graphicData>
            </a:graphic>
          </wp:inline>
        </w:drawing>
      </w: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color w:val="auto"/>
        </w:rPr>
      </w:pPr>
      <w:r>
        <w:drawing>
          <wp:inline distT="0" distB="0" distL="114300" distR="114300">
            <wp:extent cx="6116320" cy="2479040"/>
            <wp:effectExtent l="0" t="0" r="17780" b="1651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6116320" cy="2479040"/>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r>
        <w:drawing>
          <wp:inline distT="0" distB="0" distL="114300" distR="114300">
            <wp:extent cx="6116320" cy="3142615"/>
            <wp:effectExtent l="0" t="0" r="17780" b="63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6116320" cy="3142615"/>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pPr>
      <w:r>
        <w:drawing>
          <wp:inline distT="0" distB="0" distL="114300" distR="114300">
            <wp:extent cx="6113780" cy="4606925"/>
            <wp:effectExtent l="0" t="0" r="1270" b="317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4"/>
                    <a:stretch>
                      <a:fillRect/>
                    </a:stretch>
                  </pic:blipFill>
                  <pic:spPr>
                    <a:xfrm>
                      <a:off x="0" y="0"/>
                      <a:ext cx="6113780" cy="4606925"/>
                    </a:xfrm>
                    <a:prstGeom prst="rect">
                      <a:avLst/>
                    </a:prstGeom>
                    <a:noFill/>
                    <a:ln>
                      <a:noFill/>
                    </a:ln>
                  </pic:spPr>
                </pic:pic>
              </a:graphicData>
            </a:graphic>
          </wp:inline>
        </w:drawing>
      </w:r>
    </w:p>
    <w:p>
      <w:pPr>
        <w:autoSpaceDE w:val="0"/>
        <w:autoSpaceDN w:val="0"/>
        <w:adjustRightInd w:val="0"/>
        <w:spacing w:line="360" w:lineRule="auto"/>
        <w:jc w:val="left"/>
        <w:rPr>
          <w:color w:val="auto"/>
        </w:rPr>
      </w:pPr>
      <w:r>
        <w:drawing>
          <wp:inline distT="0" distB="0" distL="114300" distR="114300">
            <wp:extent cx="6120130" cy="4458970"/>
            <wp:effectExtent l="0" t="0" r="13970" b="1778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5"/>
                    <a:stretch>
                      <a:fillRect/>
                    </a:stretch>
                  </pic:blipFill>
                  <pic:spPr>
                    <a:xfrm>
                      <a:off x="0" y="0"/>
                      <a:ext cx="6120130" cy="4458970"/>
                    </a:xfrm>
                    <a:prstGeom prst="rect">
                      <a:avLst/>
                    </a:prstGeom>
                    <a:noFill/>
                    <a:ln>
                      <a:noFill/>
                    </a:ln>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pPr>
      <w:r>
        <w:drawing>
          <wp:inline distT="0" distB="0" distL="114300" distR="114300">
            <wp:extent cx="6120130" cy="7593965"/>
            <wp:effectExtent l="0" t="0" r="13970" b="698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6"/>
                    <a:stretch>
                      <a:fillRect/>
                    </a:stretch>
                  </pic:blipFill>
                  <pic:spPr>
                    <a:xfrm>
                      <a:off x="0" y="0"/>
                      <a:ext cx="6120130" cy="7593965"/>
                    </a:xfrm>
                    <a:prstGeom prst="rect">
                      <a:avLst/>
                    </a:prstGeom>
                    <a:noFill/>
                    <a:ln>
                      <a:noFill/>
                    </a:ln>
                  </pic:spPr>
                </pic:pic>
              </a:graphicData>
            </a:graphic>
          </wp:inline>
        </w:drawing>
      </w:r>
      <w:r>
        <w:drawing>
          <wp:inline distT="0" distB="0" distL="114300" distR="114300">
            <wp:extent cx="6118225" cy="2332355"/>
            <wp:effectExtent l="0" t="0" r="15875" b="1079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7"/>
                    <a:stretch>
                      <a:fillRect/>
                    </a:stretch>
                  </pic:blipFill>
                  <pic:spPr>
                    <a:xfrm>
                      <a:off x="0" y="0"/>
                      <a:ext cx="6118225" cy="233235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6120130" cy="3439795"/>
            <wp:effectExtent l="0" t="0" r="13970" b="825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8"/>
                    <a:stretch>
                      <a:fillRect/>
                    </a:stretch>
                  </pic:blipFill>
                  <pic:spPr>
                    <a:xfrm>
                      <a:off x="0" y="0"/>
                      <a:ext cx="6120130" cy="34397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color w:val="auto"/>
        </w:rPr>
      </w:pPr>
    </w:p>
    <w:p>
      <w:pPr>
        <w:autoSpaceDE w:val="0"/>
        <w:autoSpaceDN w:val="0"/>
        <w:adjustRightInd w:val="0"/>
        <w:spacing w:line="360" w:lineRule="auto"/>
        <w:jc w:val="left"/>
      </w:pPr>
      <w:r>
        <w:drawing>
          <wp:inline distT="0" distB="0" distL="114300" distR="114300">
            <wp:extent cx="6116955" cy="5763260"/>
            <wp:effectExtent l="0" t="0" r="17145" b="889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9"/>
                    <a:stretch>
                      <a:fillRect/>
                    </a:stretch>
                  </pic:blipFill>
                  <pic:spPr>
                    <a:xfrm>
                      <a:off x="0" y="0"/>
                      <a:ext cx="6116955" cy="576326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color w:val="auto"/>
        </w:rPr>
      </w:pPr>
      <w:r>
        <w:drawing>
          <wp:inline distT="0" distB="0" distL="114300" distR="114300">
            <wp:extent cx="5600700" cy="3705225"/>
            <wp:effectExtent l="0" t="0" r="0" b="9525"/>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20"/>
                    <a:stretch>
                      <a:fillRect/>
                    </a:stretch>
                  </pic:blipFill>
                  <pic:spPr>
                    <a:xfrm>
                      <a:off x="0" y="0"/>
                      <a:ext cx="5600700" cy="3705225"/>
                    </a:xfrm>
                    <a:prstGeom prst="rect">
                      <a:avLst/>
                    </a:prstGeom>
                    <a:noFill/>
                    <a:ln>
                      <a:noFill/>
                    </a:ln>
                  </pic:spPr>
                </pic:pic>
              </a:graphicData>
            </a:graphic>
          </wp:inline>
        </w:drawing>
      </w:r>
    </w:p>
    <w:p>
      <w:pPr>
        <w:widowControl/>
        <w:spacing w:line="600" w:lineRule="exact"/>
        <w:ind w:firstLine="640"/>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br w:type="page"/>
      </w:r>
      <w:bookmarkStart w:id="0" w:name="_GoBack"/>
      <w:bookmarkEnd w:id="0"/>
    </w:p>
    <w:p>
      <w:pPr>
        <w:widowControl/>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决算情况说明</w:t>
      </w:r>
    </w:p>
    <w:p>
      <w:pPr>
        <w:ind w:firstLine="630"/>
        <w:jc w:val="left"/>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 xml:space="preserve">年度收入总计 </w:t>
      </w:r>
      <w:r>
        <w:rPr>
          <w:rFonts w:hint="eastAsia" w:ascii="仿宋_GB2312" w:hAnsi="仿宋_GB2312" w:eastAsia="仿宋_GB2312"/>
          <w:color w:val="auto"/>
          <w:sz w:val="30"/>
          <w:szCs w:val="30"/>
          <w:lang w:val="en-US" w:eastAsia="zh-CN"/>
        </w:rPr>
        <w:t>502.99</w:t>
      </w:r>
      <w:r>
        <w:rPr>
          <w:rFonts w:hint="eastAsia" w:ascii="仿宋_GB2312" w:hAnsi="仿宋_GB2312" w:eastAsia="仿宋_GB2312"/>
          <w:color w:val="auto"/>
          <w:sz w:val="30"/>
          <w:szCs w:val="30"/>
        </w:rPr>
        <w:t>万元，其中年初结转和结余</w:t>
      </w:r>
      <w:r>
        <w:rPr>
          <w:rFonts w:hint="eastAsia" w:ascii="仿宋_GB2312" w:hAnsi="仿宋_GB2312" w:eastAsia="仿宋_GB2312"/>
          <w:color w:val="auto"/>
          <w:sz w:val="30"/>
          <w:szCs w:val="30"/>
          <w:lang w:val="en-US" w:eastAsia="zh-CN"/>
        </w:rPr>
        <w:t>17.46</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259.62</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107</w:t>
      </w:r>
      <w:r>
        <w:rPr>
          <w:rFonts w:hint="eastAsia" w:ascii="仿宋_GB2312" w:hAnsi="仿宋_GB2312" w:eastAsia="仿宋_GB2312"/>
          <w:color w:val="auto"/>
          <w:sz w:val="30"/>
          <w:szCs w:val="30"/>
        </w:rPr>
        <w:t>%；本年收入合计</w:t>
      </w:r>
      <w:r>
        <w:rPr>
          <w:rFonts w:hint="eastAsia" w:ascii="仿宋_GB2312" w:hAnsi="仿宋_GB2312" w:eastAsia="仿宋_GB2312"/>
          <w:color w:val="auto"/>
          <w:sz w:val="30"/>
          <w:szCs w:val="30"/>
          <w:lang w:val="en-US" w:eastAsia="zh-CN"/>
        </w:rPr>
        <w:t>485.53</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277.49</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133</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2022年发放了2021年的绩效工资</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0"/>
          <w:szCs w:val="30"/>
        </w:rPr>
        <w:t>本年收入的具体构成为：财政拨款收入</w:t>
      </w:r>
      <w:r>
        <w:rPr>
          <w:rFonts w:hint="eastAsia" w:ascii="仿宋_GB2312" w:hAnsi="仿宋_GB2312" w:eastAsia="仿宋_GB2312"/>
          <w:color w:val="auto"/>
          <w:sz w:val="30"/>
          <w:szCs w:val="30"/>
          <w:lang w:val="en-US" w:eastAsia="zh-CN"/>
        </w:rPr>
        <w:t>470.53</w:t>
      </w:r>
      <w:r>
        <w:rPr>
          <w:rFonts w:hint="eastAsia" w:ascii="仿宋_GB2312" w:hAnsi="仿宋_GB2312" w:eastAsia="仿宋_GB2312"/>
          <w:color w:val="auto"/>
          <w:sz w:val="30"/>
          <w:szCs w:val="30"/>
        </w:rPr>
        <w:t>万元，</w:t>
      </w:r>
      <w:r>
        <w:rPr>
          <w:rFonts w:hint="eastAsia" w:ascii="仿宋_GB2312" w:hAnsi="仿宋_GB2312" w:eastAsia="仿宋_GB2312"/>
          <w:color w:val="auto"/>
          <w:sz w:val="30"/>
          <w:szCs w:val="30"/>
          <w:lang w:val="en-US" w:eastAsia="zh-CN"/>
        </w:rPr>
        <w:t>占97</w:t>
      </w:r>
      <w:r>
        <w:rPr>
          <w:rFonts w:hint="eastAsia" w:ascii="仿宋_GB2312" w:hAnsi="仿宋_GB2312" w:eastAsia="仿宋_GB2312"/>
          <w:color w:val="auto"/>
          <w:sz w:val="30"/>
          <w:szCs w:val="30"/>
        </w:rPr>
        <w:t>%；事业收入</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%；经营收入</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%；其他收入</w:t>
      </w:r>
      <w:r>
        <w:rPr>
          <w:rFonts w:hint="eastAsia" w:ascii="仿宋_GB2312" w:hAnsi="仿宋_GB2312" w:eastAsia="仿宋_GB2312"/>
          <w:color w:val="auto"/>
          <w:sz w:val="30"/>
          <w:szCs w:val="30"/>
          <w:lang w:val="en-US" w:eastAsia="zh-CN"/>
        </w:rPr>
        <w:t>15</w:t>
      </w:r>
      <w:r>
        <w:rPr>
          <w:rFonts w:hint="eastAsia" w:ascii="仿宋_GB2312" w:hAnsi="仿宋_GB2312" w:eastAsia="仿宋_GB2312"/>
          <w:color w:val="auto"/>
          <w:sz w:val="30"/>
          <w:szCs w:val="30"/>
        </w:rPr>
        <w:t>万元，</w:t>
      </w:r>
      <w:r>
        <w:rPr>
          <w:rFonts w:hint="eastAsia" w:ascii="仿宋_GB2312" w:hAnsi="仿宋_GB2312" w:eastAsia="仿宋_GB2312"/>
          <w:color w:val="auto"/>
          <w:sz w:val="30"/>
          <w:szCs w:val="30"/>
          <w:lang w:val="en-US" w:eastAsia="zh-CN"/>
        </w:rPr>
        <w:t>占3</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年度支出总计</w:t>
      </w:r>
      <w:r>
        <w:rPr>
          <w:rFonts w:hint="eastAsia" w:ascii="仿宋_GB2312" w:hAnsi="仿宋_GB2312" w:eastAsia="仿宋_GB2312"/>
          <w:color w:val="auto"/>
          <w:sz w:val="30"/>
          <w:szCs w:val="30"/>
          <w:lang w:val="en-US" w:eastAsia="zh-CN"/>
        </w:rPr>
        <w:t>502.99</w:t>
      </w:r>
      <w:r>
        <w:rPr>
          <w:rFonts w:hint="eastAsia" w:ascii="仿宋_GB2312" w:hAnsi="仿宋_GB2312" w:eastAsia="仿宋_GB2312"/>
          <w:color w:val="auto"/>
          <w:sz w:val="30"/>
          <w:szCs w:val="30"/>
        </w:rPr>
        <w:t>万元，其中本年支出合计</w:t>
      </w:r>
      <w:r>
        <w:rPr>
          <w:rFonts w:hint="eastAsia" w:ascii="仿宋_GB2312" w:hAnsi="仿宋_GB2312" w:eastAsia="仿宋_GB2312"/>
          <w:color w:val="auto"/>
          <w:sz w:val="30"/>
          <w:szCs w:val="30"/>
          <w:lang w:val="en-US" w:eastAsia="zh-CN"/>
        </w:rPr>
        <w:t>502.99</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277.08</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123</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2022年发放了2021年的绩效奖</w:t>
      </w:r>
      <w:r>
        <w:rPr>
          <w:rFonts w:hint="eastAsia" w:ascii="仿宋_GB2312" w:hAnsi="仿宋_GB2312" w:eastAsia="仿宋_GB2312"/>
          <w:color w:val="auto"/>
          <w:sz w:val="30"/>
          <w:szCs w:val="30"/>
        </w:rPr>
        <w:t>；年末结转和结余</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w:t>
      </w:r>
      <w:r>
        <w:rPr>
          <w:rFonts w:hint="eastAsia" w:ascii="仿宋_GB2312" w:hAnsi="仿宋_GB2312" w:eastAsia="仿宋_GB2312"/>
          <w:color w:val="auto"/>
          <w:sz w:val="30"/>
          <w:szCs w:val="30"/>
          <w:lang w:val="en-US" w:eastAsia="zh-CN"/>
        </w:rPr>
        <w:t>减少17.46</w:t>
      </w:r>
      <w:r>
        <w:rPr>
          <w:rFonts w:hint="eastAsia" w:ascii="仿宋_GB2312" w:hAnsi="仿宋_GB2312" w:eastAsia="仿宋_GB2312"/>
          <w:color w:val="auto"/>
          <w:sz w:val="30"/>
          <w:szCs w:val="30"/>
        </w:rPr>
        <w:t>万元，</w:t>
      </w:r>
      <w:r>
        <w:rPr>
          <w:rFonts w:hint="eastAsia" w:ascii="仿宋_GB2312" w:hAnsi="仿宋_GB2312" w:eastAsia="仿宋_GB2312"/>
          <w:color w:val="auto"/>
          <w:sz w:val="30"/>
          <w:szCs w:val="30"/>
          <w:lang w:val="en-US" w:eastAsia="zh-CN"/>
        </w:rPr>
        <w:t>减少100</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支出增加</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 xml:space="preserve">本年支出的具体构成为：基本支出 </w:t>
      </w:r>
      <w:r>
        <w:rPr>
          <w:rFonts w:hint="eastAsia" w:ascii="仿宋_GB2312" w:hAnsi="仿宋_GB2312" w:eastAsia="仿宋_GB2312"/>
          <w:color w:val="auto"/>
          <w:sz w:val="30"/>
          <w:szCs w:val="30"/>
          <w:lang w:val="en-US" w:eastAsia="zh-CN"/>
        </w:rPr>
        <w:t>502.47</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99</w:t>
      </w:r>
      <w:r>
        <w:rPr>
          <w:rFonts w:hint="eastAsia" w:ascii="仿宋_GB2312" w:hAnsi="仿宋_GB2312" w:eastAsia="仿宋_GB2312"/>
          <w:color w:val="auto"/>
          <w:sz w:val="30"/>
          <w:szCs w:val="30"/>
        </w:rPr>
        <w:t>%；项目支出</w:t>
      </w:r>
      <w:r>
        <w:rPr>
          <w:rFonts w:hint="eastAsia" w:ascii="仿宋_GB2312" w:hAnsi="仿宋_GB2312" w:eastAsia="仿宋_GB2312"/>
          <w:color w:val="auto"/>
          <w:sz w:val="30"/>
          <w:szCs w:val="30"/>
          <w:lang w:val="en-US" w:eastAsia="zh-CN"/>
        </w:rPr>
        <w:t>0.52</w:t>
      </w:r>
      <w:r>
        <w:rPr>
          <w:rFonts w:hint="eastAsia" w:ascii="仿宋_GB2312" w:hAnsi="仿宋_GB2312" w:eastAsia="仿宋_GB2312"/>
          <w:color w:val="auto"/>
          <w:sz w:val="30"/>
          <w:szCs w:val="30"/>
        </w:rPr>
        <w:t>万元，占</w:t>
      </w:r>
      <w:r>
        <w:rPr>
          <w:rFonts w:hint="eastAsia" w:ascii="仿宋_GB2312" w:hAnsi="仿宋_GB2312" w:eastAsia="仿宋_GB2312"/>
          <w:color w:val="auto"/>
          <w:sz w:val="30"/>
          <w:szCs w:val="30"/>
          <w:lang w:val="en-US" w:eastAsia="zh-CN"/>
        </w:rPr>
        <w:t>1</w:t>
      </w:r>
      <w:r>
        <w:rPr>
          <w:rFonts w:hint="eastAsia" w:ascii="仿宋_GB2312" w:hAnsi="仿宋_GB2312" w:eastAsia="仿宋_GB2312"/>
          <w:color w:val="auto"/>
          <w:sz w:val="30"/>
          <w:szCs w:val="30"/>
        </w:rPr>
        <w:t xml:space="preserve"> %；经营支出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万元，占</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%；其他支出（对附属单位补助支出、上缴上级支出）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万元，占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年度财政拨款本年支出年初预算数为</w:t>
      </w:r>
      <w:r>
        <w:rPr>
          <w:rFonts w:hint="eastAsia" w:ascii="仿宋_GB2312" w:hAnsi="仿宋_GB2312" w:eastAsia="仿宋_GB2312"/>
          <w:color w:val="auto"/>
          <w:sz w:val="30"/>
          <w:szCs w:val="30"/>
          <w:lang w:val="en-US" w:eastAsia="zh-CN"/>
        </w:rPr>
        <w:t>252.94</w:t>
      </w:r>
      <w:r>
        <w:rPr>
          <w:rFonts w:hint="eastAsia" w:ascii="仿宋_GB2312" w:hAnsi="仿宋_GB2312" w:eastAsia="仿宋_GB2312"/>
          <w:color w:val="auto"/>
          <w:sz w:val="30"/>
          <w:szCs w:val="30"/>
        </w:rPr>
        <w:t>万元，决算数为</w:t>
      </w:r>
      <w:r>
        <w:rPr>
          <w:rFonts w:hint="eastAsia" w:ascii="仿宋_GB2312" w:hAnsi="仿宋_GB2312" w:eastAsia="仿宋_GB2312"/>
          <w:color w:val="auto"/>
          <w:sz w:val="30"/>
          <w:szCs w:val="30"/>
          <w:lang w:val="en-US" w:eastAsia="zh-CN"/>
        </w:rPr>
        <w:t>487.99</w:t>
      </w:r>
      <w:r>
        <w:rPr>
          <w:rFonts w:hint="eastAsia" w:ascii="仿宋_GB2312" w:hAnsi="仿宋_GB2312" w:eastAsia="仿宋_GB2312"/>
          <w:color w:val="auto"/>
          <w:sz w:val="30"/>
          <w:szCs w:val="30"/>
        </w:rPr>
        <w:t>万元，完成年初预算的</w:t>
      </w:r>
      <w:r>
        <w:rPr>
          <w:rFonts w:hint="eastAsia" w:ascii="仿宋_GB2312" w:hAnsi="仿宋_GB2312" w:eastAsia="仿宋_GB2312"/>
          <w:color w:val="auto"/>
          <w:sz w:val="30"/>
          <w:szCs w:val="30"/>
          <w:lang w:val="en-US" w:eastAsia="zh-CN"/>
        </w:rPr>
        <w:t>193</w:t>
      </w:r>
      <w:r>
        <w:rPr>
          <w:rFonts w:hint="eastAsia" w:ascii="仿宋_GB2312" w:hAnsi="仿宋_GB2312" w:eastAsia="仿宋_GB2312"/>
          <w:color w:val="auto"/>
          <w:sz w:val="30"/>
          <w:szCs w:val="30"/>
        </w:rPr>
        <w:t>%。其中：</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lang w:val="en-US" w:eastAsia="zh-CN"/>
        </w:rPr>
        <w:t>文化旅游体育与传媒支出</w:t>
      </w:r>
      <w:r>
        <w:rPr>
          <w:rFonts w:hint="eastAsia" w:ascii="仿宋" w:hAnsi="仿宋" w:eastAsia="仿宋"/>
          <w:sz w:val="30"/>
          <w:szCs w:val="30"/>
        </w:rPr>
        <w:t>年初预算数为</w:t>
      </w:r>
      <w:r>
        <w:rPr>
          <w:rFonts w:hint="eastAsia" w:ascii="仿宋" w:hAnsi="仿宋" w:eastAsia="仿宋"/>
          <w:sz w:val="30"/>
          <w:szCs w:val="30"/>
          <w:lang w:val="en-US" w:eastAsia="zh-CN"/>
        </w:rPr>
        <w:t>186.72</w:t>
      </w:r>
      <w:r>
        <w:rPr>
          <w:rFonts w:hint="eastAsia" w:ascii="仿宋" w:hAnsi="仿宋" w:eastAsia="仿宋"/>
          <w:sz w:val="30"/>
          <w:szCs w:val="30"/>
        </w:rPr>
        <w:t>万元，决算数为</w:t>
      </w:r>
      <w:r>
        <w:rPr>
          <w:rFonts w:hint="eastAsia" w:ascii="仿宋" w:hAnsi="仿宋" w:eastAsia="仿宋"/>
          <w:sz w:val="30"/>
          <w:szCs w:val="30"/>
          <w:lang w:val="en-US" w:eastAsia="zh-CN"/>
        </w:rPr>
        <w:t>423.23</w:t>
      </w:r>
      <w:r>
        <w:rPr>
          <w:rFonts w:hint="eastAsia" w:ascii="仿宋" w:hAnsi="仿宋" w:eastAsia="仿宋"/>
          <w:sz w:val="30"/>
          <w:szCs w:val="30"/>
        </w:rPr>
        <w:t>万元，完成年初预算的</w:t>
      </w:r>
      <w:r>
        <w:rPr>
          <w:rFonts w:hint="eastAsia" w:ascii="仿宋" w:hAnsi="仿宋" w:eastAsia="仿宋"/>
          <w:sz w:val="30"/>
          <w:szCs w:val="30"/>
          <w:lang w:val="en-US" w:eastAsia="zh-CN"/>
        </w:rPr>
        <w:t>227</w:t>
      </w:r>
      <w:r>
        <w:rPr>
          <w:rFonts w:hint="eastAsia" w:ascii="仿宋" w:hAnsi="仿宋" w:eastAsia="仿宋"/>
          <w:sz w:val="30"/>
          <w:szCs w:val="30"/>
        </w:rPr>
        <w:t>%</w:t>
      </w:r>
      <w:r>
        <w:rPr>
          <w:rFonts w:hint="eastAsia" w:ascii="仿宋" w:hAnsi="仿宋" w:eastAsia="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val="en-US" w:eastAsia="zh-CN"/>
        </w:rPr>
        <w:t>社会保障和就业支出</w:t>
      </w:r>
      <w:r>
        <w:rPr>
          <w:rFonts w:hint="eastAsia" w:ascii="仿宋" w:hAnsi="仿宋" w:eastAsia="仿宋"/>
          <w:sz w:val="30"/>
          <w:szCs w:val="30"/>
        </w:rPr>
        <w:t>年初预算数为</w:t>
      </w:r>
      <w:r>
        <w:rPr>
          <w:rFonts w:hint="eastAsia" w:ascii="仿宋" w:hAnsi="仿宋" w:eastAsia="仿宋"/>
          <w:sz w:val="30"/>
          <w:szCs w:val="30"/>
          <w:lang w:val="en-US" w:eastAsia="zh-CN"/>
        </w:rPr>
        <w:t>24.06</w:t>
      </w:r>
      <w:r>
        <w:rPr>
          <w:rFonts w:hint="eastAsia" w:ascii="仿宋" w:hAnsi="仿宋" w:eastAsia="仿宋"/>
          <w:sz w:val="30"/>
          <w:szCs w:val="30"/>
        </w:rPr>
        <w:t>万元，决算数为</w:t>
      </w:r>
      <w:r>
        <w:rPr>
          <w:rFonts w:hint="eastAsia" w:ascii="仿宋" w:hAnsi="仿宋" w:eastAsia="仿宋"/>
          <w:sz w:val="30"/>
          <w:szCs w:val="30"/>
          <w:lang w:val="en-US" w:eastAsia="zh-CN"/>
        </w:rPr>
        <w:t>23.31</w:t>
      </w:r>
      <w:r>
        <w:rPr>
          <w:rFonts w:hint="eastAsia" w:ascii="仿宋" w:hAnsi="仿宋" w:eastAsia="仿宋"/>
          <w:sz w:val="30"/>
          <w:szCs w:val="30"/>
        </w:rPr>
        <w:t>万元，完成年初预算的</w:t>
      </w:r>
      <w:r>
        <w:rPr>
          <w:rFonts w:hint="eastAsia" w:ascii="仿宋" w:hAnsi="仿宋" w:eastAsia="仿宋"/>
          <w:sz w:val="30"/>
          <w:szCs w:val="30"/>
          <w:lang w:val="en-US" w:eastAsia="zh-CN"/>
        </w:rPr>
        <w:t>97</w:t>
      </w:r>
      <w:r>
        <w:rPr>
          <w:rFonts w:hint="eastAsia" w:ascii="仿宋" w:hAnsi="仿宋" w:eastAsia="仿宋"/>
          <w:sz w:val="30"/>
          <w:szCs w:val="30"/>
        </w:rPr>
        <w:t>%，主要原因是：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lang w:eastAsia="zh-CN"/>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val="en-US" w:eastAsia="zh-CN"/>
        </w:rPr>
        <w:t>卫生和健康支出</w:t>
      </w:r>
      <w:r>
        <w:rPr>
          <w:rFonts w:hint="eastAsia" w:ascii="仿宋" w:hAnsi="仿宋" w:eastAsia="仿宋"/>
          <w:sz w:val="30"/>
          <w:szCs w:val="30"/>
        </w:rPr>
        <w:t>年初预算数为</w:t>
      </w:r>
      <w:r>
        <w:rPr>
          <w:rFonts w:hint="eastAsia" w:ascii="仿宋" w:hAnsi="仿宋" w:eastAsia="仿宋"/>
          <w:sz w:val="30"/>
          <w:szCs w:val="30"/>
          <w:lang w:val="en-US" w:eastAsia="zh-CN"/>
        </w:rPr>
        <w:t>24.12</w:t>
      </w:r>
      <w:r>
        <w:rPr>
          <w:rFonts w:hint="eastAsia" w:ascii="仿宋" w:hAnsi="仿宋" w:eastAsia="仿宋"/>
          <w:sz w:val="30"/>
          <w:szCs w:val="30"/>
        </w:rPr>
        <w:t>万元，决算数为</w:t>
      </w:r>
      <w:r>
        <w:rPr>
          <w:rFonts w:hint="eastAsia" w:ascii="仿宋" w:hAnsi="仿宋" w:eastAsia="仿宋"/>
          <w:sz w:val="30"/>
          <w:szCs w:val="30"/>
          <w:lang w:val="en-US" w:eastAsia="zh-CN"/>
        </w:rPr>
        <w:t>23.41</w:t>
      </w:r>
      <w:r>
        <w:rPr>
          <w:rFonts w:hint="eastAsia" w:ascii="仿宋" w:hAnsi="仿宋" w:eastAsia="仿宋"/>
          <w:sz w:val="30"/>
          <w:szCs w:val="30"/>
        </w:rPr>
        <w:t>万元，完成年初预算的</w:t>
      </w:r>
      <w:r>
        <w:rPr>
          <w:rFonts w:hint="eastAsia" w:ascii="仿宋" w:hAnsi="仿宋" w:eastAsia="仿宋"/>
          <w:sz w:val="30"/>
          <w:szCs w:val="30"/>
          <w:lang w:val="en-US" w:eastAsia="zh-CN"/>
        </w:rPr>
        <w:t>97</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sz w:val="30"/>
          <w:szCs w:val="30"/>
        </w:rPr>
        <w:t>主要原因是：</w:t>
      </w:r>
      <w:r>
        <w:rPr>
          <w:rFonts w:hint="eastAsia" w:ascii="仿宋" w:hAnsi="仿宋" w:eastAsia="仿宋"/>
          <w:sz w:val="30"/>
          <w:szCs w:val="30"/>
          <w:lang w:val="en-US" w:eastAsia="zh-CN"/>
        </w:rPr>
        <w:t>年初预算偏大</w:t>
      </w:r>
      <w:r>
        <w:rPr>
          <w:rFonts w:hint="eastAsia" w:ascii="仿宋" w:hAnsi="仿宋" w:eastAsia="仿宋"/>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left"/>
        <w:textAlignment w:val="baseline"/>
        <w:rPr>
          <w:rFonts w:hint="eastAsia" w:ascii="仿宋" w:hAnsi="仿宋" w:eastAsia="仿宋"/>
          <w:sz w:val="30"/>
          <w:szCs w:val="30"/>
          <w:lang w:eastAsia="zh-CN"/>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w:t>
      </w:r>
      <w:r>
        <w:rPr>
          <w:rFonts w:hint="eastAsia" w:ascii="仿宋" w:hAnsi="仿宋" w:eastAsia="仿宋"/>
          <w:sz w:val="30"/>
          <w:szCs w:val="30"/>
          <w:lang w:val="en-US" w:eastAsia="zh-CN"/>
        </w:rPr>
        <w:t>住房保障支出</w:t>
      </w:r>
      <w:r>
        <w:rPr>
          <w:rFonts w:hint="eastAsia" w:ascii="仿宋" w:hAnsi="仿宋" w:eastAsia="仿宋"/>
          <w:sz w:val="30"/>
          <w:szCs w:val="30"/>
        </w:rPr>
        <w:t>年初预算数为</w:t>
      </w:r>
      <w:r>
        <w:rPr>
          <w:rFonts w:hint="eastAsia" w:ascii="仿宋" w:hAnsi="仿宋" w:eastAsia="仿宋"/>
          <w:sz w:val="30"/>
          <w:szCs w:val="30"/>
          <w:lang w:val="en-US" w:eastAsia="zh-CN"/>
        </w:rPr>
        <w:t>18.04</w:t>
      </w:r>
      <w:r>
        <w:rPr>
          <w:rFonts w:hint="eastAsia" w:ascii="仿宋" w:hAnsi="仿宋" w:eastAsia="仿宋"/>
          <w:sz w:val="30"/>
          <w:szCs w:val="30"/>
        </w:rPr>
        <w:t>万元，决算数为</w:t>
      </w:r>
      <w:r>
        <w:rPr>
          <w:rFonts w:hint="eastAsia" w:ascii="仿宋" w:hAnsi="仿宋" w:eastAsia="仿宋"/>
          <w:sz w:val="30"/>
          <w:szCs w:val="30"/>
          <w:lang w:val="en-US" w:eastAsia="zh-CN"/>
        </w:rPr>
        <w:t>18.04</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hint="eastAsia" w:ascii="仿宋" w:hAnsi="仿宋" w:eastAsia="仿宋"/>
          <w:sz w:val="30"/>
          <w:szCs w:val="30"/>
        </w:rPr>
        <w:t>%</w:t>
      </w:r>
      <w:r>
        <w:rPr>
          <w:rFonts w:hint="eastAsia" w:ascii="仿宋" w:hAnsi="仿宋" w:eastAsia="仿宋"/>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30"/>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0"/>
          <w:szCs w:val="30"/>
        </w:rPr>
        <w:t>202</w:t>
      </w:r>
      <w:r>
        <w:rPr>
          <w:rFonts w:hint="eastAsia" w:ascii="仿宋_GB2312" w:hAnsi="仿宋_GB2312" w:eastAsia="仿宋_GB2312"/>
          <w:color w:val="auto"/>
          <w:sz w:val="30"/>
          <w:szCs w:val="30"/>
          <w:lang w:val="en-US" w:eastAsia="zh-CN"/>
        </w:rPr>
        <w:t>2</w:t>
      </w:r>
      <w:r>
        <w:rPr>
          <w:rFonts w:hint="eastAsia" w:ascii="仿宋_GB2312" w:hAnsi="仿宋_GB2312" w:eastAsia="仿宋_GB2312"/>
          <w:color w:val="auto"/>
          <w:sz w:val="30"/>
          <w:szCs w:val="30"/>
        </w:rPr>
        <w:t>年度一般公共预算财政拨款基本支出</w:t>
      </w:r>
      <w:r>
        <w:rPr>
          <w:rFonts w:hint="eastAsia" w:ascii="仿宋_GB2312" w:hAnsi="仿宋_GB2312" w:eastAsia="仿宋_GB2312"/>
          <w:color w:val="auto"/>
          <w:sz w:val="30"/>
          <w:szCs w:val="30"/>
          <w:lang w:val="en-US" w:eastAsia="zh-CN"/>
        </w:rPr>
        <w:t>487.47</w:t>
      </w:r>
      <w:r>
        <w:rPr>
          <w:rFonts w:hint="eastAsia" w:ascii="仿宋_GB2312" w:hAnsi="仿宋_GB2312" w:eastAsia="仿宋_GB2312"/>
          <w:color w:val="auto"/>
          <w:sz w:val="30"/>
          <w:szCs w:val="30"/>
        </w:rPr>
        <w:t>万元，其中：</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（一）工资福利支出</w:t>
      </w:r>
      <w:r>
        <w:rPr>
          <w:rFonts w:hint="eastAsia" w:ascii="仿宋_GB2312" w:hAnsi="仿宋_GB2312" w:eastAsia="仿宋_GB2312"/>
          <w:color w:val="auto"/>
          <w:sz w:val="30"/>
          <w:szCs w:val="30"/>
          <w:lang w:val="en-US" w:eastAsia="zh-CN"/>
        </w:rPr>
        <w:t>323.78</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124.4</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62</w:t>
      </w:r>
      <w:r>
        <w:rPr>
          <w:rFonts w:hint="eastAsia" w:ascii="仿宋_GB2312" w:hAnsi="仿宋_GB2312" w:eastAsia="仿宋_GB2312"/>
          <w:color w:val="auto"/>
          <w:sz w:val="30"/>
          <w:szCs w:val="30"/>
        </w:rPr>
        <w:t>%</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rPr>
        <w:t>主要原因是：</w:t>
      </w:r>
      <w:r>
        <w:rPr>
          <w:rFonts w:hint="eastAsia" w:ascii="仿宋_GB2312" w:hAnsi="仿宋_GB2312" w:eastAsia="仿宋_GB2312"/>
          <w:color w:val="auto"/>
          <w:sz w:val="30"/>
          <w:szCs w:val="30"/>
          <w:lang w:val="en-US" w:eastAsia="zh-CN"/>
        </w:rPr>
        <w:t>2022年发放了2021年的在职人员绩效工资</w:t>
      </w:r>
      <w:r>
        <w:rPr>
          <w:rFonts w:hint="eastAsia" w:ascii="仿宋_GB2312" w:hAnsi="仿宋_GB2312" w:eastAsia="仿宋_GB2312"/>
          <w:color w:val="auto"/>
          <w:sz w:val="30"/>
          <w:szCs w:val="3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firstLine="600" w:firstLineChars="200"/>
        <w:jc w:val="left"/>
        <w:textAlignment w:val="baseline"/>
        <w:rPr>
          <w:rFonts w:hint="default" w:ascii="仿宋_GB2312" w:hAnsi="仿宋_GB2312" w:eastAsia="仿宋_GB2312"/>
          <w:color w:val="auto"/>
          <w:sz w:val="30"/>
          <w:szCs w:val="30"/>
          <w:lang w:val="en-US" w:eastAsia="zh-CN"/>
        </w:rPr>
      </w:pPr>
      <w:r>
        <w:rPr>
          <w:rFonts w:hint="eastAsia" w:ascii="仿宋_GB2312" w:hAnsi="仿宋_GB2312" w:eastAsia="仿宋_GB2312"/>
          <w:color w:val="auto"/>
          <w:sz w:val="30"/>
          <w:szCs w:val="30"/>
        </w:rPr>
        <w:t>（二）商品和服务支出</w:t>
      </w:r>
      <w:r>
        <w:rPr>
          <w:rFonts w:hint="eastAsia" w:ascii="仿宋_GB2312" w:hAnsi="仿宋_GB2312" w:eastAsia="仿宋_GB2312"/>
          <w:color w:val="auto"/>
          <w:sz w:val="30"/>
          <w:szCs w:val="30"/>
          <w:lang w:val="en-US" w:eastAsia="zh-CN"/>
        </w:rPr>
        <w:t>56.72</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了30.1</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113</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开支增加。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85"/>
        <w:jc w:val="left"/>
        <w:textAlignment w:val="baseline"/>
        <w:rPr>
          <w:rFonts w:hint="eastAsia" w:ascii="仿宋_GB2312" w:hAnsi="仿宋_GB2312" w:eastAsia="仿宋_GB2312"/>
          <w:color w:val="auto"/>
          <w:sz w:val="30"/>
          <w:szCs w:val="30"/>
        </w:rPr>
      </w:pPr>
      <w:r>
        <w:rPr>
          <w:rFonts w:hint="eastAsia" w:ascii="仿宋_GB2312" w:hAnsi="仿宋_GB2312" w:eastAsia="仿宋_GB2312"/>
          <w:color w:val="auto"/>
          <w:sz w:val="30"/>
          <w:szCs w:val="30"/>
        </w:rPr>
        <w:t>（三）对个人和家庭补助支出</w:t>
      </w:r>
      <w:r>
        <w:rPr>
          <w:rFonts w:hint="eastAsia" w:ascii="仿宋_GB2312" w:hAnsi="仿宋_GB2312" w:eastAsia="仿宋_GB2312"/>
          <w:color w:val="auto"/>
          <w:sz w:val="30"/>
          <w:szCs w:val="30"/>
          <w:lang w:val="en-US" w:eastAsia="zh-CN"/>
        </w:rPr>
        <w:t>106.97</w:t>
      </w:r>
      <w:r>
        <w:rPr>
          <w:rFonts w:hint="eastAsia" w:ascii="仿宋_GB2312" w:hAnsi="仿宋_GB2312" w:eastAsia="仿宋_GB2312"/>
          <w:color w:val="auto"/>
          <w:sz w:val="30"/>
          <w:szCs w:val="30"/>
        </w:rPr>
        <w:t>万元，较20</w:t>
      </w:r>
      <w:r>
        <w:rPr>
          <w:rFonts w:hint="eastAsia" w:ascii="仿宋_GB2312" w:hAnsi="仿宋_GB2312" w:eastAsia="仿宋_GB2312"/>
          <w:color w:val="auto"/>
          <w:sz w:val="30"/>
          <w:szCs w:val="30"/>
          <w:lang w:val="en-US" w:eastAsia="zh-CN"/>
        </w:rPr>
        <w:t>21</w:t>
      </w:r>
      <w:r>
        <w:rPr>
          <w:rFonts w:hint="eastAsia" w:ascii="仿宋_GB2312" w:hAnsi="仿宋_GB2312" w:eastAsia="仿宋_GB2312"/>
          <w:color w:val="auto"/>
          <w:sz w:val="30"/>
          <w:szCs w:val="30"/>
        </w:rPr>
        <w:t>年增加</w:t>
      </w:r>
      <w:r>
        <w:rPr>
          <w:rFonts w:hint="eastAsia" w:ascii="仿宋_GB2312" w:hAnsi="仿宋_GB2312" w:eastAsia="仿宋_GB2312"/>
          <w:color w:val="auto"/>
          <w:sz w:val="30"/>
          <w:szCs w:val="30"/>
          <w:lang w:val="en-US" w:eastAsia="zh-CN"/>
        </w:rPr>
        <w:t>106.97</w:t>
      </w:r>
      <w:r>
        <w:rPr>
          <w:rFonts w:hint="eastAsia" w:ascii="仿宋_GB2312" w:hAnsi="仿宋_GB2312" w:eastAsia="仿宋_GB2312"/>
          <w:color w:val="auto"/>
          <w:sz w:val="30"/>
          <w:szCs w:val="30"/>
        </w:rPr>
        <w:t>万元，增长</w:t>
      </w:r>
      <w:r>
        <w:rPr>
          <w:rFonts w:hint="eastAsia" w:ascii="仿宋_GB2312" w:hAnsi="仿宋_GB2312" w:eastAsia="仿宋_GB2312"/>
          <w:color w:val="auto"/>
          <w:sz w:val="30"/>
          <w:szCs w:val="30"/>
          <w:lang w:val="en-US" w:eastAsia="zh-CN"/>
        </w:rPr>
        <w:t>100</w:t>
      </w:r>
      <w:r>
        <w:rPr>
          <w:rFonts w:hint="eastAsia" w:ascii="仿宋_GB2312" w:hAnsi="仿宋_GB2312" w:eastAsia="仿宋_GB2312"/>
          <w:color w:val="auto"/>
          <w:sz w:val="30"/>
          <w:szCs w:val="30"/>
        </w:rPr>
        <w:t xml:space="preserve"> %，主要原因是：</w:t>
      </w:r>
      <w:r>
        <w:rPr>
          <w:rFonts w:hint="eastAsia" w:ascii="仿宋_GB2312" w:hAnsi="仿宋_GB2312" w:eastAsia="仿宋_GB2312"/>
          <w:color w:val="auto"/>
          <w:sz w:val="30"/>
          <w:szCs w:val="30"/>
          <w:lang w:val="en-US" w:eastAsia="zh-CN"/>
        </w:rPr>
        <w:t>2022年发放了2021年的退休人员绩效工资</w:t>
      </w:r>
      <w:r>
        <w:rPr>
          <w:rFonts w:hint="eastAsia" w:ascii="仿宋_GB2312" w:hAnsi="仿宋_GB2312" w:eastAsia="仿宋_GB2312"/>
          <w:color w:val="auto"/>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全年安排因公出国（境）团组0 个，累计0 次，主要为：无</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年增加（减少）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全年国内公务接待0  批，累计接待0 人次，其中外事接待0 批，累计接待0人次，主要为：无</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（三）公务用车购置及运行维护费支出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全年购置公务用车0 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年增加（减少）</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万元，增长（下降）</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主要原因是：无</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年末公务用车保有0辆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w:t>
      </w:r>
      <w:r>
        <w:rPr>
          <w:rFonts w:hint="eastAsia" w:ascii="仿宋_GB2312" w:hAnsi="仿宋_GB2312" w:eastAsia="仿宋_GB2312"/>
          <w:color w:val="auto"/>
          <w:sz w:val="32"/>
          <w:szCs w:val="32"/>
          <w:lang w:val="en-US" w:eastAsia="zh-CN"/>
        </w:rPr>
        <w:t>无</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b w:val="0"/>
          <w:bCs w:val="0"/>
          <w:color w:val="auto"/>
          <w:sz w:val="32"/>
          <w:szCs w:val="32"/>
          <w:lang w:eastAsia="zh-CN"/>
        </w:rPr>
      </w:pPr>
      <w:r>
        <w:rPr>
          <w:rFonts w:hint="eastAsia" w:ascii="仿宋_GB2312" w:hAnsi="仿宋_GB2312" w:eastAsia="仿宋_GB2312"/>
          <w:b w:val="0"/>
          <w:bCs w:val="0"/>
          <w:color w:val="auto"/>
          <w:sz w:val="32"/>
          <w:szCs w:val="32"/>
          <w:lang w:val="en-US" w:eastAsia="zh-CN"/>
        </w:rPr>
        <w:t>本单位不是</w:t>
      </w:r>
      <w:r>
        <w:rPr>
          <w:rFonts w:hint="eastAsia" w:ascii="仿宋_GB2312" w:hAnsi="仿宋_GB2312" w:eastAsia="仿宋_GB2312"/>
          <w:b w:val="0"/>
          <w:bCs w:val="0"/>
          <w:color w:val="auto"/>
          <w:sz w:val="32"/>
          <w:szCs w:val="32"/>
        </w:rPr>
        <w:t>行政单位</w:t>
      </w:r>
      <w:r>
        <w:rPr>
          <w:rFonts w:hint="eastAsia" w:ascii="仿宋_GB2312" w:hAnsi="仿宋_GB2312" w:eastAsia="仿宋_GB2312"/>
          <w:b w:val="0"/>
          <w:bCs w:val="0"/>
          <w:color w:val="auto"/>
          <w:sz w:val="32"/>
          <w:szCs w:val="32"/>
          <w:lang w:val="en-US" w:eastAsia="zh-CN"/>
        </w:rPr>
        <w:t>或</w:t>
      </w:r>
      <w:r>
        <w:rPr>
          <w:rFonts w:hint="eastAsia" w:ascii="仿宋_GB2312" w:hAnsi="仿宋_GB2312" w:eastAsia="仿宋_GB2312"/>
          <w:b w:val="0"/>
          <w:bCs w:val="0"/>
          <w:color w:val="auto"/>
          <w:sz w:val="32"/>
          <w:szCs w:val="32"/>
        </w:rPr>
        <w:t>参照公务员法管理事业单位</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lang w:val="en-US" w:eastAsia="zh-CN"/>
        </w:rPr>
        <w:t>故无机关运行经费支出。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6"/>
        <w:keepNext w:val="0"/>
        <w:keepLines w:val="0"/>
        <w:pageBreakBefore w:val="0"/>
        <w:widowControl/>
        <w:kinsoku w:val="0"/>
        <w:wordWrap/>
        <w:overflowPunct/>
        <w:topLinePunct w:val="0"/>
        <w:autoSpaceDE w:val="0"/>
        <w:autoSpaceDN w:val="0"/>
        <w:bidi w:val="0"/>
        <w:adjustRightInd w:val="0"/>
        <w:snapToGrid w:val="0"/>
        <w:spacing w:line="600" w:lineRule="exact"/>
        <w:ind w:firstLine="60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万元，其中：政府采购货物支出</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万元、政府采购工程支出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万元、政府采购服务支出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万元。授予中小企业合同金额 </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万元，占政府采购支出总额的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%，其中：授予小微企业合同金额</w:t>
      </w:r>
      <w:r>
        <w:rPr>
          <w:rFonts w:hint="eastAsia" w:ascii="仿宋_GB2312" w:hAnsi="仿宋_GB2312" w:eastAsia="仿宋_GB2312"/>
          <w:color w:val="auto"/>
          <w:sz w:val="32"/>
          <w:szCs w:val="32"/>
          <w:lang w:val="en-US" w:eastAsia="zh-CN"/>
        </w:rPr>
        <w:t>1</w:t>
      </w:r>
      <w:r>
        <w:rPr>
          <w:rFonts w:hint="eastAsia" w:ascii="仿宋_GB2312" w:hAnsi="仿宋_GB2312" w:eastAsia="仿宋_GB2312"/>
          <w:color w:val="auto"/>
          <w:sz w:val="32"/>
          <w:szCs w:val="32"/>
        </w:rPr>
        <w:t>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val="en-US" w:eastAsia="zh-CN"/>
        </w:rPr>
        <w:t>；货物采购授予中小企业合同金额占货物支出金额的 100 %，工程采购授予中小企业合同金额占工程支出金额的 0%，服务采购授予中小企业合同金额占服务支出金额的0%。</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w:t>
      </w:r>
      <w:r>
        <w:rPr>
          <w:rFonts w:hint="eastAsia" w:ascii="仿宋_GB2312" w:hAnsi="仿宋_GB2312" w:eastAsia="仿宋_GB2312"/>
          <w:color w:val="auto"/>
          <w:kern w:val="0"/>
          <w:sz w:val="32"/>
          <w:szCs w:val="32"/>
          <w:lang w:val="en-US" w:eastAsia="zh-CN"/>
        </w:rPr>
        <w:t>单位</w:t>
      </w:r>
      <w:r>
        <w:rPr>
          <w:rFonts w:hint="eastAsia" w:ascii="仿宋_GB2312" w:hAnsi="仿宋_GB2312" w:eastAsia="仿宋_GB2312"/>
          <w:color w:val="auto"/>
          <w:kern w:val="0"/>
          <w:sz w:val="32"/>
          <w:szCs w:val="32"/>
        </w:rPr>
        <w:t>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olor w:val="auto"/>
          <w:sz w:val="32"/>
          <w:szCs w:val="32"/>
          <w:lang w:eastAsia="zh-CN"/>
        </w:rPr>
      </w:pPr>
      <w:r>
        <w:rPr>
          <w:rFonts w:hint="eastAsia" w:ascii="黑体" w:hAnsi="黑体" w:eastAsia="黑体"/>
          <w:color w:val="auto"/>
          <w:sz w:val="32"/>
          <w:szCs w:val="32"/>
        </w:rPr>
        <w:t>九、预算绩效</w:t>
      </w:r>
      <w:r>
        <w:rPr>
          <w:rFonts w:hint="eastAsia" w:ascii="黑体" w:hAnsi="黑体" w:eastAsia="黑体"/>
          <w:color w:val="FF0000"/>
          <w:sz w:val="32"/>
          <w:szCs w:val="32"/>
          <w:lang w:val="en-US" w:eastAsia="zh-CN"/>
        </w:rPr>
        <w:t>评价</w:t>
      </w:r>
      <w:r>
        <w:rPr>
          <w:rFonts w:hint="eastAsia" w:ascii="黑体" w:hAnsi="黑体" w:eastAsia="黑体"/>
          <w:color w:val="auto"/>
          <w:sz w:val="32"/>
          <w:szCs w:val="32"/>
        </w:rPr>
        <w:t>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（一）绩效</w:t>
      </w:r>
      <w:r>
        <w:rPr>
          <w:rFonts w:hint="eastAsia" w:ascii="仿宋_GB2312" w:hAnsi="仿宋_GB2312" w:eastAsia="仿宋_GB2312" w:cs="仿宋_GB2312"/>
          <w:b/>
          <w:bCs/>
          <w:color w:val="FF0000"/>
          <w:kern w:val="0"/>
          <w:sz w:val="32"/>
          <w:szCs w:val="32"/>
          <w:lang w:val="en-US" w:eastAsia="zh-CN"/>
        </w:rPr>
        <w:t>评价</w:t>
      </w:r>
      <w:r>
        <w:rPr>
          <w:rFonts w:hint="eastAsia" w:ascii="仿宋_GB2312" w:hAnsi="仿宋_GB2312" w:eastAsia="仿宋_GB2312" w:cs="仿宋_GB2312"/>
          <w:color w:val="auto"/>
          <w:kern w:val="0"/>
          <w:sz w:val="32"/>
          <w:szCs w:val="32"/>
        </w:rPr>
        <w:t>工作开展情况。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根据预算绩效管理要求，我</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color w:val="auto"/>
          <w:kern w:val="0"/>
          <w:sz w:val="32"/>
          <w:szCs w:val="32"/>
        </w:rPr>
        <w:t>组织对</w:t>
      </w:r>
      <w:r>
        <w:rPr>
          <w:rFonts w:hint="eastAsia" w:ascii="仿宋_GB2312" w:hAnsi="仿宋_GB2312" w:eastAsia="仿宋_GB2312" w:cs="仿宋_GB2312"/>
          <w:color w:val="auto"/>
          <w:kern w:val="0"/>
          <w:sz w:val="32"/>
          <w:szCs w:val="32"/>
          <w:lang w:val="en-US" w:eastAsia="zh-CN"/>
        </w:rPr>
        <w:t>纳入</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年度</w:t>
      </w:r>
      <w:r>
        <w:rPr>
          <w:rFonts w:hint="eastAsia" w:ascii="仿宋_GB2312" w:hAnsi="仿宋_GB2312" w:eastAsia="仿宋_GB2312" w:cs="仿宋_GB2312"/>
          <w:color w:val="auto"/>
          <w:kern w:val="0"/>
          <w:sz w:val="32"/>
          <w:szCs w:val="32"/>
          <w:lang w:val="en-US" w:eastAsia="zh-CN"/>
        </w:rPr>
        <w:t>部门预算范围的二级项目0 个</w:t>
      </w:r>
      <w:r>
        <w:rPr>
          <w:rFonts w:hint="eastAsia" w:ascii="仿宋_GB2312" w:hAnsi="仿宋_GB2312" w:eastAsia="仿宋_GB2312" w:cs="仿宋_GB2312"/>
          <w:color w:val="auto"/>
          <w:kern w:val="0"/>
          <w:sz w:val="32"/>
          <w:szCs w:val="32"/>
        </w:rPr>
        <w:t xml:space="preserve">全面开展绩效自评，共涉及资金  </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万元，占项目支出总额的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二）单位</w:t>
      </w:r>
      <w:r>
        <w:rPr>
          <w:rFonts w:hint="eastAsia" w:ascii="仿宋_GB2312" w:hAnsi="仿宋_GB2312" w:eastAsia="仿宋_GB2312" w:cs="仿宋_GB2312"/>
          <w:color w:val="auto"/>
          <w:kern w:val="0"/>
          <w:sz w:val="32"/>
          <w:szCs w:val="32"/>
        </w:rPr>
        <w:t>决算中项目绩效自评</w:t>
      </w:r>
      <w:r>
        <w:rPr>
          <w:rFonts w:hint="eastAsia" w:ascii="仿宋_GB2312" w:hAnsi="仿宋_GB2312" w:eastAsia="仿宋_GB2312" w:cs="仿宋_GB2312"/>
          <w:color w:val="auto"/>
          <w:kern w:val="0"/>
          <w:sz w:val="32"/>
          <w:szCs w:val="32"/>
          <w:lang w:val="en-US" w:eastAsia="zh-CN"/>
        </w:rPr>
        <w:t>结果</w:t>
      </w:r>
      <w:r>
        <w:rPr>
          <w:rFonts w:hint="eastAsia" w:ascii="仿宋_GB2312" w:hAnsi="仿宋_GB2312" w:eastAsia="仿宋_GB2312" w:cs="仿宋_GB2312"/>
          <w:color w:val="auto"/>
          <w:kern w:val="0"/>
          <w:sz w:val="32"/>
          <w:szCs w:val="32"/>
        </w:rPr>
        <w:t>。</w:t>
      </w:r>
    </w:p>
    <w:p>
      <w:pPr>
        <w:jc w:val="left"/>
        <w:rPr>
          <w:rFonts w:hint="eastAsia" w:ascii="宋体" w:hAnsi="宋体" w:cs="宋体"/>
          <w:color w:val="auto"/>
          <w:kern w:val="0"/>
          <w:sz w:val="30"/>
          <w:szCs w:val="30"/>
          <w:lang w:val="en-US" w:eastAsia="zh-CN"/>
        </w:rPr>
      </w:pPr>
      <w:r>
        <w:rPr>
          <w:rFonts w:hint="eastAsia" w:ascii="宋体" w:hAnsi="宋体" w:cs="宋体"/>
          <w:color w:val="auto"/>
          <w:kern w:val="0"/>
          <w:sz w:val="30"/>
          <w:szCs w:val="30"/>
          <w:lang w:val="en-US" w:eastAsia="zh-CN"/>
        </w:rPr>
        <w:t xml:space="preserve"> </w:t>
      </w:r>
    </w:p>
    <w:p>
      <w:pPr>
        <w:ind w:firstLine="560" w:firstLineChars="200"/>
        <w:jc w:val="left"/>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根据预算绩效管理要求，我</w:t>
      </w:r>
      <w:r>
        <w:rPr>
          <w:rFonts w:hint="eastAsia" w:ascii="宋体" w:hAnsi="宋体" w:eastAsia="宋体" w:cs="宋体"/>
          <w:color w:val="auto"/>
          <w:kern w:val="0"/>
          <w:sz w:val="28"/>
          <w:szCs w:val="28"/>
          <w:lang w:val="en-US" w:eastAsia="zh-CN"/>
        </w:rPr>
        <w:t>单位组织对</w:t>
      </w:r>
      <w:r>
        <w:rPr>
          <w:rFonts w:hint="eastAsia" w:ascii="宋体" w:hAnsi="宋体" w:eastAsia="宋体" w:cs="宋体"/>
          <w:color w:val="auto"/>
          <w:kern w:val="0"/>
          <w:sz w:val="28"/>
          <w:szCs w:val="28"/>
        </w:rPr>
        <w:t>202</w:t>
      </w:r>
      <w:r>
        <w:rPr>
          <w:rFonts w:hint="eastAsia" w:ascii="宋体" w:hAnsi="宋体" w:eastAsia="宋体" w:cs="宋体"/>
          <w:color w:val="auto"/>
          <w:kern w:val="0"/>
          <w:sz w:val="28"/>
          <w:szCs w:val="28"/>
          <w:lang w:val="en-US" w:eastAsia="zh-CN"/>
        </w:rPr>
        <w:t>2年</w:t>
      </w:r>
      <w:r>
        <w:rPr>
          <w:rFonts w:hint="eastAsia" w:ascii="宋体" w:hAnsi="宋体" w:eastAsia="宋体" w:cs="宋体"/>
          <w:color w:val="auto"/>
          <w:kern w:val="0"/>
          <w:sz w:val="28"/>
          <w:szCs w:val="28"/>
        </w:rPr>
        <w:t>整体绩效</w:t>
      </w:r>
      <w:r>
        <w:rPr>
          <w:rFonts w:hint="eastAsia" w:ascii="宋体" w:hAnsi="宋体" w:eastAsia="宋体" w:cs="宋体"/>
          <w:color w:val="auto"/>
          <w:kern w:val="0"/>
          <w:sz w:val="28"/>
          <w:szCs w:val="28"/>
          <w:lang w:val="en-US" w:eastAsia="zh-CN"/>
        </w:rPr>
        <w:t>进行</w:t>
      </w:r>
      <w:r>
        <w:rPr>
          <w:rFonts w:hint="eastAsia" w:ascii="宋体" w:hAnsi="宋体" w:eastAsia="宋体" w:cs="宋体"/>
          <w:color w:val="auto"/>
          <w:kern w:val="0"/>
          <w:sz w:val="28"/>
          <w:szCs w:val="28"/>
        </w:rPr>
        <w:t>自评</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 xml:space="preserve">  </w:t>
      </w:r>
    </w:p>
    <w:p>
      <w:pPr>
        <w:rPr>
          <w:rFonts w:hint="eastAsia" w:ascii="黑体" w:eastAsia="黑体"/>
          <w:color w:val="000000"/>
          <w:sz w:val="32"/>
          <w:szCs w:val="32"/>
        </w:rPr>
      </w:pPr>
      <w:r>
        <w:rPr>
          <w:rFonts w:hint="eastAsia" w:ascii="黑体" w:eastAsia="黑体"/>
          <w:color w:val="000000"/>
          <w:sz w:val="32"/>
          <w:szCs w:val="32"/>
        </w:rPr>
        <w:t>附件6：</w:t>
      </w:r>
    </w:p>
    <w:p>
      <w:pPr>
        <w:jc w:val="center"/>
        <w:rPr>
          <w:rFonts w:hint="eastAsia" w:ascii="方正小标宋简体" w:hAnsi="方正小标宋简体" w:eastAsia="方正小标宋简体"/>
          <w:bCs/>
          <w:color w:val="000000"/>
          <w:sz w:val="44"/>
        </w:rPr>
      </w:pPr>
      <w:r>
        <w:rPr>
          <w:rFonts w:hint="eastAsia" w:ascii="方正小标宋简体" w:hAnsi="方正小标宋简体" w:eastAsia="方正小标宋简体"/>
          <w:bCs/>
          <w:color w:val="000000"/>
          <w:sz w:val="44"/>
        </w:rPr>
        <w:t>单位整体支出绩效自评表</w:t>
      </w:r>
    </w:p>
    <w:p>
      <w:pPr>
        <w:jc w:val="center"/>
        <w:rPr>
          <w:rFonts w:hint="eastAsia" w:ascii="楷体_GB2312" w:hAnsi="楷体_GB2312" w:eastAsia="楷体_GB2312"/>
          <w:b/>
          <w:bCs/>
          <w:color w:val="000000"/>
          <w:sz w:val="28"/>
          <w:szCs w:val="28"/>
        </w:rPr>
      </w:pPr>
      <w:r>
        <w:rPr>
          <w:rFonts w:hint="eastAsia" w:ascii="楷体_GB2312" w:hAnsi="楷体_GB2312" w:eastAsia="楷体_GB2312"/>
          <w:b/>
          <w:bCs/>
          <w:color w:val="000000"/>
          <w:sz w:val="28"/>
          <w:szCs w:val="28"/>
        </w:rPr>
        <w:t>（202</w:t>
      </w:r>
      <w:r>
        <w:rPr>
          <w:rFonts w:hint="eastAsia" w:ascii="楷体_GB2312" w:hAnsi="楷体_GB2312" w:eastAsia="楷体_GB2312"/>
          <w:b/>
          <w:bCs/>
          <w:color w:val="000000"/>
          <w:sz w:val="28"/>
          <w:szCs w:val="28"/>
          <w:lang w:val="en-US" w:eastAsia="zh-CN"/>
        </w:rPr>
        <w:t>2</w:t>
      </w:r>
      <w:r>
        <w:rPr>
          <w:rFonts w:hint="eastAsia" w:ascii="楷体_GB2312" w:hAnsi="楷体_GB2312" w:eastAsia="楷体_GB2312"/>
          <w:b/>
          <w:bCs/>
          <w:color w:val="000000"/>
          <w:sz w:val="28"/>
          <w:szCs w:val="28"/>
        </w:rPr>
        <w:t>年度）</w:t>
      </w:r>
    </w:p>
    <w:tbl>
      <w:tblPr>
        <w:tblStyle w:val="4"/>
        <w:tblpPr w:leftFromText="180" w:rightFromText="180" w:vertAnchor="text" w:tblpXSpec="center" w:tblpY="1"/>
        <w:tblOverlap w:val="never"/>
        <w:tblW w:w="10031" w:type="dxa"/>
        <w:tblInd w:w="0" w:type="dxa"/>
        <w:tblLayout w:type="fixed"/>
        <w:tblCellMar>
          <w:top w:w="0" w:type="dxa"/>
          <w:left w:w="108" w:type="dxa"/>
          <w:bottom w:w="0" w:type="dxa"/>
          <w:right w:w="108" w:type="dxa"/>
        </w:tblCellMar>
      </w:tblPr>
      <w:tblGrid>
        <w:gridCol w:w="742"/>
        <w:gridCol w:w="294"/>
        <w:gridCol w:w="323"/>
        <w:gridCol w:w="2089"/>
        <w:gridCol w:w="963"/>
        <w:gridCol w:w="1017"/>
        <w:gridCol w:w="104"/>
        <w:gridCol w:w="557"/>
        <w:gridCol w:w="359"/>
        <w:gridCol w:w="903"/>
        <w:gridCol w:w="805"/>
        <w:gridCol w:w="763"/>
        <w:gridCol w:w="1112"/>
      </w:tblGrid>
      <w:tr>
        <w:tblPrEx>
          <w:tblCellMar>
            <w:top w:w="0" w:type="dxa"/>
            <w:left w:w="108" w:type="dxa"/>
            <w:bottom w:w="0" w:type="dxa"/>
            <w:right w:w="108" w:type="dxa"/>
          </w:tblCellMar>
        </w:tblPrEx>
        <w:trPr>
          <w:trHeight w:val="228" w:hRule="atLeast"/>
        </w:trPr>
        <w:tc>
          <w:tcPr>
            <w:tcW w:w="135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评价部门</w:t>
            </w:r>
          </w:p>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名称</w:t>
            </w:r>
          </w:p>
        </w:tc>
        <w:tc>
          <w:tcPr>
            <w:tcW w:w="417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进贤县采茶剧团有限责任公司</w:t>
            </w:r>
          </w:p>
        </w:tc>
        <w:tc>
          <w:tcPr>
            <w:tcW w:w="26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下属单位个数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135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整体支出</w:t>
            </w:r>
          </w:p>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规模</w:t>
            </w: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全年预算数</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全年执行数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执行率</w:t>
            </w:r>
          </w:p>
        </w:tc>
      </w:tr>
      <w:tr>
        <w:tblPrEx>
          <w:tblCellMar>
            <w:top w:w="0" w:type="dxa"/>
            <w:left w:w="108" w:type="dxa"/>
            <w:bottom w:w="0" w:type="dxa"/>
            <w:right w:w="108" w:type="dxa"/>
          </w:tblCellMar>
        </w:tblPrEx>
        <w:trPr>
          <w:trHeight w:val="31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资金来源：（1）财政拨款</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252.94</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ind w:firstLine="630" w:firstLineChars="300"/>
              <w:jc w:val="both"/>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487.99</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198%</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（2）其他资金</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40</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37%</w:t>
            </w:r>
          </w:p>
        </w:tc>
      </w:tr>
      <w:tr>
        <w:tblPrEx>
          <w:tblCellMar>
            <w:top w:w="0" w:type="dxa"/>
            <w:left w:w="108" w:type="dxa"/>
            <w:bottom w:w="0" w:type="dxa"/>
            <w:right w:w="108" w:type="dxa"/>
          </w:tblCellMar>
        </w:tblPrEx>
        <w:trPr>
          <w:trHeight w:val="25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资金结构：（1）基本支出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292.94</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502.47</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171%</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（2）项目支出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0.52</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both"/>
              <w:textAlignment w:val="center"/>
              <w:rPr>
                <w:rFonts w:hint="default" w:ascii="黑体" w:hAnsi="黑体" w:eastAsia="黑体" w:cs="黑体"/>
                <w:color w:val="000000"/>
                <w:szCs w:val="21"/>
                <w:lang w:val="en-US" w:eastAsia="zh-CN"/>
              </w:rPr>
            </w:pPr>
          </w:p>
        </w:tc>
      </w:tr>
      <w:tr>
        <w:tblPrEx>
          <w:tblCellMar>
            <w:top w:w="0" w:type="dxa"/>
            <w:left w:w="108" w:type="dxa"/>
            <w:bottom w:w="0" w:type="dxa"/>
            <w:right w:w="108" w:type="dxa"/>
          </w:tblCellMar>
        </w:tblPrEx>
        <w:trPr>
          <w:trHeight w:val="228" w:hRule="atLeast"/>
        </w:trPr>
        <w:tc>
          <w:tcPr>
            <w:tcW w:w="10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年度总体目标</w:t>
            </w: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年初设定目标</w:t>
            </w: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全年完成情况</w:t>
            </w:r>
          </w:p>
        </w:tc>
      </w:tr>
      <w:tr>
        <w:tblPrEx>
          <w:tblCellMar>
            <w:top w:w="0" w:type="dxa"/>
            <w:left w:w="108" w:type="dxa"/>
            <w:bottom w:w="0" w:type="dxa"/>
            <w:right w:w="108" w:type="dxa"/>
          </w:tblCellMar>
        </w:tblPrEx>
        <w:trPr>
          <w:trHeight w:val="228" w:hRule="atLeast"/>
        </w:trPr>
        <w:tc>
          <w:tcPr>
            <w:tcW w:w="10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rPr>
            </w:pPr>
            <w:r>
              <w:rPr>
                <w:rFonts w:hint="eastAsia" w:ascii="黑体" w:hAnsi="黑体" w:eastAsia="黑体" w:cs="黑体"/>
                <w:color w:val="000000"/>
                <w:szCs w:val="21"/>
                <w:lang w:eastAsia="zh-CN"/>
              </w:rPr>
              <w:t>完成单位职工基本福利保障、</w:t>
            </w:r>
            <w:r>
              <w:rPr>
                <w:rFonts w:hint="eastAsia" w:ascii="黑体" w:hAnsi="黑体" w:eastAsia="黑体" w:cs="黑体"/>
                <w:color w:val="000000"/>
                <w:szCs w:val="21"/>
                <w:lang w:val="en-US" w:eastAsia="zh-CN"/>
              </w:rPr>
              <w:t>有序开展演出活动</w:t>
            </w: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b w:val="0"/>
                <w:bCs w:val="0"/>
                <w:color w:val="000000"/>
                <w:sz w:val="24"/>
                <w:szCs w:val="24"/>
                <w:shd w:val="clear" w:color="auto" w:fill="FAFAFA"/>
                <w:lang w:eastAsia="zh-CN"/>
              </w:rPr>
              <w:t>已按时按量</w:t>
            </w:r>
            <w:r>
              <w:rPr>
                <w:rFonts w:hint="eastAsia" w:ascii="黑体" w:hAnsi="黑体" w:eastAsia="黑体" w:cs="黑体"/>
                <w:b w:val="0"/>
                <w:bCs w:val="0"/>
                <w:color w:val="000000"/>
                <w:sz w:val="24"/>
                <w:szCs w:val="24"/>
                <w:shd w:val="clear" w:color="auto" w:fill="FAFAFA"/>
              </w:rPr>
              <w:t>完成项目绩效目标</w:t>
            </w:r>
          </w:p>
        </w:tc>
      </w:tr>
      <w:tr>
        <w:tblPrEx>
          <w:tblCellMar>
            <w:top w:w="0" w:type="dxa"/>
            <w:left w:w="108" w:type="dxa"/>
            <w:bottom w:w="0" w:type="dxa"/>
            <w:right w:w="108" w:type="dxa"/>
          </w:tblCellMar>
        </w:tblPrEx>
        <w:trPr>
          <w:trHeight w:val="228" w:hRule="atLeast"/>
        </w:trPr>
        <w:tc>
          <w:tcPr>
            <w:tcW w:w="10031"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分解目标自评</w:t>
            </w:r>
          </w:p>
        </w:tc>
      </w:tr>
      <w:tr>
        <w:tblPrEx>
          <w:tblCellMar>
            <w:top w:w="0" w:type="dxa"/>
            <w:left w:w="108" w:type="dxa"/>
            <w:bottom w:w="0" w:type="dxa"/>
            <w:right w:w="108" w:type="dxa"/>
          </w:tblCellMar>
        </w:tblPrEx>
        <w:trPr>
          <w:trHeight w:val="24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一级指标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权重</w:t>
            </w:r>
          </w:p>
        </w:tc>
        <w:tc>
          <w:tcPr>
            <w:tcW w:w="208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二级指标</w:t>
            </w:r>
          </w:p>
        </w:tc>
        <w:tc>
          <w:tcPr>
            <w:tcW w:w="19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三级指标</w:t>
            </w:r>
          </w:p>
        </w:tc>
        <w:tc>
          <w:tcPr>
            <w:tcW w:w="102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年度指标值</w:t>
            </w:r>
          </w:p>
        </w:tc>
        <w:tc>
          <w:tcPr>
            <w:tcW w:w="90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全年完成值</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分值</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得分</w:t>
            </w:r>
          </w:p>
        </w:tc>
        <w:tc>
          <w:tcPr>
            <w:tcW w:w="111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偏差及原因分析</w:t>
            </w:r>
          </w:p>
        </w:tc>
      </w:tr>
      <w:tr>
        <w:tblPrEx>
          <w:tblCellMar>
            <w:top w:w="0" w:type="dxa"/>
            <w:left w:w="108" w:type="dxa"/>
            <w:bottom w:w="0" w:type="dxa"/>
            <w:right w:w="108" w:type="dxa"/>
          </w:tblCellMar>
        </w:tblPrEx>
        <w:trPr>
          <w:trHeight w:val="24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208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9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02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90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1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09"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管理指标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30</w:t>
            </w: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预算编审管理</w:t>
            </w:r>
          </w:p>
        </w:tc>
        <w:tc>
          <w:tcPr>
            <w:tcW w:w="3000" w:type="dxa"/>
            <w:gridSpan w:val="5"/>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eastAsia="zh-CN"/>
              </w:rPr>
              <w:t>预算编制完整性</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94"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预算编制准确性</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76"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绩效目标管理</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04"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预算执行管理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预算完成率</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26"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支付进度率</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6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公用经费控制率</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2"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“三公经费”控制率</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b/>
                <w:bCs/>
                <w:color w:val="000000"/>
                <w:szCs w:val="21"/>
              </w:rPr>
            </w:pPr>
            <w:r>
              <w:rPr>
                <w:rFonts w:hint="eastAsia" w:ascii="黑体" w:hAnsi="黑体" w:eastAsia="黑体" w:cs="黑体"/>
                <w:b/>
                <w:bCs/>
                <w:color w:val="000000"/>
                <w:szCs w:val="21"/>
              </w:rPr>
              <w:t>部门结转结余资金管理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结转结余率</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5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预决算信息公开管理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预决算信息公开性</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1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基础信息完善性</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3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部门预算管理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在职人员控制率</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33"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管理制度健全性</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4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支出规范性及巡视、审计、绩效评价结果等</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9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政府采购管理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政府采购执行率</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09"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资产管理</w:t>
            </w: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管理制度健全性</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59" w:hRule="atLeast"/>
        </w:trPr>
        <w:tc>
          <w:tcPr>
            <w:tcW w:w="742"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资产管理安全性</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ab/>
            </w:r>
            <w:r>
              <w:rPr>
                <w:rFonts w:hint="eastAsia" w:ascii="黑体" w:hAnsi="黑体" w:eastAsia="黑体" w:cs="黑体"/>
                <w:color w:val="000000"/>
                <w:szCs w:val="21"/>
                <w:lang w:val="en-US" w:eastAsia="zh-CN"/>
              </w:rPr>
              <w:t>2</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91" w:hRule="atLeast"/>
        </w:trPr>
        <w:tc>
          <w:tcPr>
            <w:tcW w:w="742" w:type="dxa"/>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3000" w:type="dxa"/>
            <w:gridSpan w:val="5"/>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固定资产利用率</w:t>
            </w:r>
          </w:p>
        </w:tc>
        <w:tc>
          <w:tcPr>
            <w:tcW w:w="90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17"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产出指标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25</w:t>
            </w:r>
          </w:p>
        </w:tc>
        <w:tc>
          <w:tcPr>
            <w:tcW w:w="2089"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数量指标</w:t>
            </w:r>
          </w:p>
        </w:tc>
        <w:tc>
          <w:tcPr>
            <w:tcW w:w="198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指标</w:t>
            </w:r>
            <w:r>
              <w:rPr>
                <w:rFonts w:hint="eastAsia" w:ascii="黑体" w:hAnsi="黑体" w:eastAsia="黑体" w:cs="黑体"/>
                <w:color w:val="000000"/>
                <w:szCs w:val="21"/>
                <w:lang w:val="en-US" w:eastAsia="zh-CN"/>
              </w:rPr>
              <w:t>1：</w:t>
            </w:r>
            <w:r>
              <w:rPr>
                <w:rFonts w:hint="eastAsia" w:ascii="黑体" w:hAnsi="黑体" w:eastAsia="黑体" w:cs="黑体"/>
                <w:b w:val="0"/>
                <w:bCs w:val="0"/>
                <w:sz w:val="21"/>
                <w:szCs w:val="21"/>
              </w:rPr>
              <w:t>送戏下乡</w:t>
            </w:r>
          </w:p>
        </w:tc>
        <w:tc>
          <w:tcPr>
            <w:tcW w:w="1020"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29场</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94"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eastAsia="zh-CN"/>
              </w:rPr>
              <w:t>指标</w:t>
            </w:r>
            <w:r>
              <w:rPr>
                <w:rFonts w:hint="eastAsia" w:ascii="黑体" w:hAnsi="黑体" w:eastAsia="黑体" w:cs="黑体"/>
                <w:color w:val="000000"/>
                <w:szCs w:val="21"/>
                <w:lang w:val="en-US" w:eastAsia="zh-CN"/>
              </w:rPr>
              <w:t>2：</w:t>
            </w:r>
            <w:r>
              <w:rPr>
                <w:rFonts w:hint="eastAsia" w:ascii="黑体" w:hAnsi="黑体" w:eastAsia="黑体" w:cs="黑体"/>
                <w:sz w:val="21"/>
                <w:szCs w:val="21"/>
              </w:rPr>
              <w:t>公益性演出</w:t>
            </w:r>
          </w:p>
        </w:tc>
        <w:tc>
          <w:tcPr>
            <w:tcW w:w="1020" w:type="dxa"/>
            <w:gridSpan w:val="3"/>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10余场</w:t>
            </w:r>
          </w:p>
        </w:tc>
        <w:tc>
          <w:tcPr>
            <w:tcW w:w="90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65"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right w:val="single" w:color="000000" w:sz="4" w:space="0"/>
            </w:tcBorders>
            <w:noWrap w:val="0"/>
            <w:vAlign w:val="center"/>
          </w:tcPr>
          <w:p>
            <w:pPr>
              <w:autoSpaceDN w:val="0"/>
              <w:spacing w:line="240" w:lineRule="exact"/>
              <w:jc w:val="both"/>
              <w:textAlignment w:val="center"/>
              <w:rPr>
                <w:rFonts w:hint="default" w:ascii="黑体" w:hAnsi="黑体" w:eastAsia="黑体" w:cs="黑体"/>
                <w:color w:val="000000"/>
                <w:szCs w:val="21"/>
                <w:lang w:val="en-US" w:eastAsia="zh-CN"/>
              </w:rPr>
            </w:pPr>
          </w:p>
        </w:tc>
        <w:tc>
          <w:tcPr>
            <w:tcW w:w="1020" w:type="dxa"/>
            <w:gridSpan w:val="3"/>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p>
        </w:tc>
        <w:tc>
          <w:tcPr>
            <w:tcW w:w="90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39" w:hRule="atLeast"/>
        </w:trPr>
        <w:tc>
          <w:tcPr>
            <w:tcW w:w="742"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617" w:type="dxa"/>
            <w:gridSpan w:val="2"/>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2089"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right w:val="single" w:color="000000" w:sz="4" w:space="0"/>
            </w:tcBorders>
            <w:noWrap w:val="0"/>
            <w:vAlign w:val="center"/>
          </w:tcPr>
          <w:p>
            <w:pPr>
              <w:autoSpaceDN w:val="0"/>
              <w:spacing w:line="240" w:lineRule="exact"/>
              <w:jc w:val="both"/>
              <w:textAlignment w:val="center"/>
              <w:rPr>
                <w:rFonts w:hint="eastAsia" w:ascii="黑体" w:hAnsi="黑体" w:eastAsia="黑体" w:cs="黑体"/>
                <w:color w:val="000000"/>
                <w:szCs w:val="21"/>
                <w:lang w:eastAsia="zh-CN"/>
              </w:rPr>
            </w:pPr>
          </w:p>
        </w:tc>
        <w:tc>
          <w:tcPr>
            <w:tcW w:w="1020" w:type="dxa"/>
            <w:gridSpan w:val="3"/>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p>
        </w:tc>
        <w:tc>
          <w:tcPr>
            <w:tcW w:w="90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802"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质量指标</w:t>
            </w:r>
          </w:p>
        </w:tc>
        <w:tc>
          <w:tcPr>
            <w:tcW w:w="1980" w:type="dxa"/>
            <w:gridSpan w:val="2"/>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运转正常</w:t>
            </w:r>
          </w:p>
        </w:tc>
        <w:tc>
          <w:tcPr>
            <w:tcW w:w="1020" w:type="dxa"/>
            <w:gridSpan w:val="3"/>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宋体" w:hAnsi="宋体" w:eastAsia="宋体" w:cs="宋体"/>
                <w:color w:val="000000"/>
                <w:kern w:val="0"/>
                <w:szCs w:val="21"/>
                <w:lang w:val="en-US" w:eastAsia="zh-CN"/>
              </w:rPr>
              <w:t>100%</w:t>
            </w:r>
          </w:p>
        </w:tc>
        <w:tc>
          <w:tcPr>
            <w:tcW w:w="90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15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980" w:type="dxa"/>
            <w:gridSpan w:val="2"/>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p>
        </w:tc>
        <w:tc>
          <w:tcPr>
            <w:tcW w:w="1020" w:type="dxa"/>
            <w:gridSpan w:val="3"/>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90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auto" w:sz="4" w:space="0"/>
              <w:left w:val="single" w:color="000000" w:sz="4" w:space="0"/>
              <w:bottom w:val="single" w:color="auto"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68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时效指标</w:t>
            </w:r>
          </w:p>
        </w:tc>
        <w:tc>
          <w:tcPr>
            <w:tcW w:w="1980" w:type="dxa"/>
            <w:gridSpan w:val="2"/>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在时效内开展各种活动</w:t>
            </w:r>
          </w:p>
        </w:tc>
        <w:tc>
          <w:tcPr>
            <w:tcW w:w="1020" w:type="dxa"/>
            <w:gridSpan w:val="3"/>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按时完成</w:t>
            </w:r>
          </w:p>
        </w:tc>
        <w:tc>
          <w:tcPr>
            <w:tcW w:w="903"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805"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63" w:type="dxa"/>
            <w:tcBorders>
              <w:top w:val="single" w:color="auto"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1112" w:type="dxa"/>
            <w:tcBorders>
              <w:top w:val="single" w:color="auto"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效果指标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35</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经济效益指标</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促进当地文旅产业发展</w:t>
            </w:r>
          </w:p>
        </w:tc>
        <w:tc>
          <w:tcPr>
            <w:tcW w:w="102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带动效应明显</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14</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845"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社会效益指标</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val="en-US" w:eastAsia="zh-CN"/>
              </w:rPr>
              <w:t>社会正能量提升</w:t>
            </w:r>
          </w:p>
        </w:tc>
        <w:tc>
          <w:tcPr>
            <w:tcW w:w="102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kern w:val="0"/>
                <w:szCs w:val="21"/>
              </w:rPr>
              <w:t>明显提升</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71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089"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生态效益指标</w:t>
            </w:r>
          </w:p>
        </w:tc>
        <w:tc>
          <w:tcPr>
            <w:tcW w:w="1980" w:type="dxa"/>
            <w:gridSpan w:val="2"/>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对推动我县文化事业发展程度</w:t>
            </w:r>
          </w:p>
        </w:tc>
        <w:tc>
          <w:tcPr>
            <w:tcW w:w="1020" w:type="dxa"/>
            <w:gridSpan w:val="3"/>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程度较高</w:t>
            </w:r>
          </w:p>
        </w:tc>
        <w:tc>
          <w:tcPr>
            <w:tcW w:w="903"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6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w:t>
            </w:r>
          </w:p>
        </w:tc>
        <w:tc>
          <w:tcPr>
            <w:tcW w:w="208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198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群众满意度</w:t>
            </w:r>
          </w:p>
        </w:tc>
        <w:tc>
          <w:tcPr>
            <w:tcW w:w="102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宋体" w:hAnsi="宋体" w:eastAsia="宋体" w:cs="宋体"/>
                <w:color w:val="000000"/>
                <w:kern w:val="0"/>
                <w:szCs w:val="21"/>
              </w:rPr>
              <w:t>9</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rPr>
              <w:t xml:space="preserve"> %以上</w:t>
            </w:r>
          </w:p>
        </w:tc>
        <w:tc>
          <w:tcPr>
            <w:tcW w:w="90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95%</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24" w:hRule="atLeast"/>
        </w:trPr>
        <w:tc>
          <w:tcPr>
            <w:tcW w:w="7351"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总分</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96</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bl>
    <w:p>
      <w:pPr>
        <w:jc w:val="left"/>
        <w:rPr>
          <w:rFonts w:hint="eastAsia" w:ascii="黑体" w:hAnsi="黑体" w:eastAsia="黑体"/>
          <w:color w:val="000000"/>
          <w:spacing w:val="-4"/>
          <w:szCs w:val="21"/>
        </w:rPr>
      </w:pPr>
    </w:p>
    <w:p>
      <w:pPr>
        <w:jc w:val="left"/>
        <w:rPr>
          <w:rFonts w:hint="eastAsia" w:ascii="黑体" w:hAnsi="黑体" w:eastAsia="黑体"/>
          <w:color w:val="000000"/>
          <w:spacing w:val="-4"/>
          <w:szCs w:val="21"/>
        </w:rPr>
      </w:pPr>
      <w:r>
        <w:rPr>
          <w:rFonts w:hint="eastAsia" w:ascii="黑体" w:hAnsi="黑体" w:eastAsia="黑体"/>
          <w:color w:val="000000"/>
          <w:spacing w:val="-4"/>
          <w:szCs w:val="21"/>
        </w:rPr>
        <w:t>说明：1.部门（单位）按照附件5《部门整体支出绩效评价指标体系框架》（参考）设置三级指标；</w:t>
      </w:r>
    </w:p>
    <w:p>
      <w:pPr>
        <w:ind w:left="808" w:hanging="808" w:hangingChars="400"/>
        <w:jc w:val="left"/>
        <w:rPr>
          <w:rFonts w:hint="eastAsia"/>
          <w:b/>
          <w:color w:val="000000"/>
        </w:rPr>
        <w:sectPr>
          <w:headerReference r:id="rId7" w:type="default"/>
          <w:footerReference r:id="rId8" w:type="default"/>
          <w:footerReference r:id="rId9" w:type="even"/>
          <w:pgSz w:w="11906" w:h="16838"/>
          <w:pgMar w:top="1134" w:right="1134" w:bottom="1134" w:left="1134" w:header="851" w:footer="992" w:gutter="0"/>
          <w:pgNumType w:fmt="numberInDash"/>
          <w:cols w:space="720" w:num="1"/>
          <w:docGrid w:type="lines" w:linePitch="312" w:charSpace="0"/>
        </w:sectPr>
      </w:pPr>
      <w:r>
        <w:rPr>
          <w:rFonts w:hint="eastAsia" w:ascii="黑体" w:hAnsi="黑体" w:eastAsia="黑体"/>
          <w:color w:val="000000"/>
          <w:spacing w:val="-4"/>
          <w:szCs w:val="21"/>
        </w:rPr>
        <w:t xml:space="preserve">      2.上述产出指标和效益指标根据年初设定的绩效目标既可以按照重点任务完成情况分别填列，也可以依据所有重点任务归纳提炼综合指标。</w:t>
      </w:r>
    </w:p>
    <w:p>
      <w:pPr>
        <w:rPr>
          <w:rFonts w:hint="eastAsia" w:ascii="黑体" w:eastAsia="黑体"/>
          <w:color w:val="000000"/>
          <w:sz w:val="32"/>
          <w:szCs w:val="32"/>
        </w:rPr>
      </w:pPr>
      <w:r>
        <w:rPr>
          <w:rFonts w:hint="eastAsia" w:ascii="黑体" w:eastAsia="黑体"/>
          <w:color w:val="000000"/>
          <w:sz w:val="32"/>
          <w:szCs w:val="32"/>
        </w:rPr>
        <w:t>附件7：</w:t>
      </w:r>
    </w:p>
    <w:p>
      <w:pPr>
        <w:rPr>
          <w:rFonts w:hint="eastAsia"/>
          <w:b/>
          <w:color w:val="000000"/>
        </w:rPr>
      </w:pPr>
    </w:p>
    <w:p>
      <w:pPr>
        <w:tabs>
          <w:tab w:val="left" w:pos="7219"/>
        </w:tabs>
        <w:jc w:val="center"/>
        <w:rPr>
          <w:rFonts w:hint="eastAsia" w:ascii="仿宋_GB2312" w:eastAsia="仿宋_GB2312"/>
          <w:b/>
          <w:sz w:val="44"/>
          <w:szCs w:val="44"/>
        </w:rPr>
      </w:pPr>
      <w:r>
        <w:rPr>
          <w:rFonts w:hint="eastAsia" w:ascii="仿宋_GB2312" w:eastAsia="仿宋_GB2312"/>
          <w:b/>
          <w:sz w:val="44"/>
          <w:szCs w:val="44"/>
        </w:rPr>
        <w:t>202</w:t>
      </w:r>
      <w:r>
        <w:rPr>
          <w:rFonts w:hint="eastAsia" w:ascii="仿宋_GB2312" w:eastAsia="仿宋_GB2312"/>
          <w:b/>
          <w:sz w:val="44"/>
          <w:szCs w:val="44"/>
          <w:lang w:val="en-US" w:eastAsia="zh-CN"/>
        </w:rPr>
        <w:t>2</w:t>
      </w:r>
      <w:r>
        <w:rPr>
          <w:rFonts w:hint="eastAsia" w:ascii="仿宋_GB2312" w:eastAsia="仿宋_GB2312"/>
          <w:b/>
          <w:sz w:val="44"/>
          <w:szCs w:val="44"/>
        </w:rPr>
        <w:t>年进贤县采茶剧团有限责任公司</w:t>
      </w:r>
    </w:p>
    <w:p>
      <w:pPr>
        <w:tabs>
          <w:tab w:val="left" w:pos="7219"/>
        </w:tabs>
        <w:jc w:val="center"/>
        <w:rPr>
          <w:rFonts w:hint="eastAsia" w:ascii="仿宋_GB2312" w:eastAsia="仿宋_GB2312"/>
          <w:b/>
          <w:spacing w:val="14"/>
          <w:sz w:val="44"/>
          <w:szCs w:val="44"/>
        </w:rPr>
      </w:pPr>
      <w:r>
        <w:rPr>
          <w:rFonts w:hint="eastAsia" w:ascii="仿宋_GB2312" w:eastAsia="仿宋_GB2312"/>
          <w:b/>
          <w:spacing w:val="14"/>
          <w:sz w:val="44"/>
          <w:szCs w:val="44"/>
        </w:rPr>
        <w:t xml:space="preserve">  绩效自评报告</w:t>
      </w:r>
    </w:p>
    <w:p>
      <w:pPr>
        <w:rPr>
          <w:rFonts w:hint="eastAsia" w:ascii="仿宋_GB2312" w:eastAsia="仿宋_GB2312"/>
          <w:sz w:val="30"/>
          <w:szCs w:val="30"/>
        </w:rPr>
      </w:pPr>
    </w:p>
    <w:p>
      <w:pPr>
        <w:spacing w:beforeAutospacing="0" w:afterAutospacing="0" w:line="560" w:lineRule="exact"/>
        <w:rPr>
          <w:rFonts w:hint="eastAsia" w:ascii="仿宋_GB2312" w:eastAsia="仿宋_GB2312"/>
          <w:b/>
          <w:sz w:val="30"/>
          <w:szCs w:val="30"/>
        </w:rPr>
      </w:pPr>
      <w:r>
        <w:rPr>
          <w:rFonts w:hint="eastAsia" w:ascii="仿宋_GB2312" w:eastAsia="仿宋_GB2312"/>
          <w:b/>
          <w:sz w:val="30"/>
          <w:szCs w:val="30"/>
        </w:rPr>
        <w:t xml:space="preserve">    一、部门（单位）概况</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一）进贤县采茶剧团有限责任公司主要职能是搞好传统古装戏文化宣传、采茶戏演出、丰富进贤县群众文化生活、送戏下乡、活跃农村文化舞台，配合文化局的各项工作，认真宣传党的方针政策，为进贤的文化事业做贡献。</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（二）部门基本情况</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进贤县采茶剧团是文广新旅局的下属单位，属事业差额拨款改企单位。人员编制已封存县文化馆中，在职人员2</w:t>
      </w:r>
      <w:r>
        <w:rPr>
          <w:rFonts w:hint="eastAsia" w:ascii="仿宋_GB2312" w:eastAsia="仿宋_GB2312"/>
          <w:sz w:val="30"/>
          <w:szCs w:val="30"/>
          <w:lang w:val="en-US" w:eastAsia="zh-CN"/>
        </w:rPr>
        <w:t>3</w:t>
      </w:r>
      <w:r>
        <w:rPr>
          <w:rFonts w:hint="eastAsia" w:ascii="仿宋_GB2312" w:eastAsia="仿宋_GB2312"/>
          <w:sz w:val="30"/>
          <w:szCs w:val="30"/>
        </w:rPr>
        <w:t>人，退休人员3</w:t>
      </w:r>
      <w:r>
        <w:rPr>
          <w:rFonts w:hint="eastAsia" w:ascii="仿宋_GB2312" w:eastAsia="仿宋_GB2312"/>
          <w:sz w:val="30"/>
          <w:szCs w:val="30"/>
          <w:lang w:val="en-US" w:eastAsia="zh-CN"/>
        </w:rPr>
        <w:t>3</w:t>
      </w:r>
      <w:r>
        <w:rPr>
          <w:rFonts w:hint="eastAsia" w:ascii="仿宋_GB2312" w:eastAsia="仿宋_GB2312"/>
          <w:sz w:val="30"/>
          <w:szCs w:val="30"/>
        </w:rPr>
        <w:t>人（进入县社保统发）。</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（三）配合县委、县政府、县文广新旅局的工作部署，认真完成公益性演出，202</w:t>
      </w:r>
      <w:r>
        <w:rPr>
          <w:rFonts w:hint="eastAsia" w:ascii="仿宋_GB2312" w:eastAsia="仿宋_GB2312"/>
          <w:sz w:val="30"/>
          <w:szCs w:val="30"/>
          <w:lang w:val="en-US" w:eastAsia="zh-CN"/>
        </w:rPr>
        <w:t>2</w:t>
      </w:r>
      <w:r>
        <w:rPr>
          <w:rFonts w:hint="eastAsia" w:ascii="仿宋_GB2312" w:eastAsia="仿宋_GB2312"/>
          <w:sz w:val="30"/>
          <w:szCs w:val="30"/>
        </w:rPr>
        <w:t>年度扶贫采茶戏《清零》参加</w:t>
      </w:r>
      <w:r>
        <w:rPr>
          <w:rFonts w:hint="eastAsia" w:ascii="仿宋_GB2312" w:eastAsia="仿宋_GB2312"/>
          <w:sz w:val="30"/>
          <w:szCs w:val="30"/>
          <w:lang w:val="en-US" w:eastAsia="zh-CN"/>
        </w:rPr>
        <w:t>江西省第八届艺术节暨第十二届玉茗花戏剧节获新创小戏优秀剧目奖</w:t>
      </w:r>
      <w:r>
        <w:rPr>
          <w:rFonts w:hint="eastAsia" w:ascii="仿宋_GB2312" w:eastAsia="仿宋_GB2312"/>
          <w:sz w:val="30"/>
          <w:szCs w:val="30"/>
        </w:rPr>
        <w:t>。</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（四）当年部门（单位）预算及执行情况</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1、财政拨款资金计划到位。资金202</w:t>
      </w:r>
      <w:r>
        <w:rPr>
          <w:rFonts w:hint="eastAsia" w:ascii="仿宋_GB2312" w:eastAsia="仿宋_GB2312"/>
          <w:sz w:val="30"/>
          <w:szCs w:val="30"/>
          <w:lang w:val="en-US" w:eastAsia="zh-CN"/>
        </w:rPr>
        <w:t>2</w:t>
      </w:r>
      <w:r>
        <w:rPr>
          <w:rFonts w:hint="eastAsia" w:ascii="仿宋_GB2312" w:eastAsia="仿宋_GB2312"/>
          <w:sz w:val="30"/>
          <w:szCs w:val="30"/>
        </w:rPr>
        <w:t>年实际到位</w:t>
      </w:r>
      <w:r>
        <w:rPr>
          <w:rFonts w:hint="eastAsia" w:ascii="仿宋_GB2312" w:eastAsia="仿宋_GB2312"/>
          <w:sz w:val="30"/>
          <w:szCs w:val="30"/>
          <w:lang w:val="en-US" w:eastAsia="zh-CN"/>
        </w:rPr>
        <w:t>502.99万</w:t>
      </w:r>
      <w:r>
        <w:rPr>
          <w:rFonts w:hint="eastAsia" w:ascii="仿宋_GB2312" w:eastAsia="仿宋_GB2312"/>
          <w:sz w:val="30"/>
          <w:szCs w:val="30"/>
        </w:rPr>
        <w:t>元，全部用于支出，资金到位100%。</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2、资金使用情况，到账资金用于职工基本工资及福利、单位演出经费、社保和医保、住房公积金等实际支出</w:t>
      </w:r>
      <w:r>
        <w:rPr>
          <w:rFonts w:hint="eastAsia" w:ascii="仿宋_GB2312" w:eastAsia="仿宋_GB2312"/>
          <w:sz w:val="30"/>
          <w:szCs w:val="30"/>
          <w:lang w:val="en-US" w:eastAsia="zh-CN"/>
        </w:rPr>
        <w:t>502.99万</w:t>
      </w:r>
      <w:r>
        <w:rPr>
          <w:rFonts w:hint="eastAsia" w:ascii="仿宋_GB2312" w:eastAsia="仿宋_GB2312"/>
          <w:sz w:val="30"/>
          <w:szCs w:val="30"/>
        </w:rPr>
        <w:t>元，资金使用100%。</w:t>
      </w:r>
    </w:p>
    <w:p>
      <w:pPr>
        <w:spacing w:beforeAutospacing="0" w:afterAutospacing="0" w:line="560" w:lineRule="exact"/>
        <w:rPr>
          <w:rFonts w:hint="eastAsia" w:ascii="仿宋_GB2312" w:eastAsia="仿宋_GB2312"/>
          <w:b/>
          <w:sz w:val="30"/>
          <w:szCs w:val="30"/>
        </w:rPr>
      </w:pPr>
      <w:r>
        <w:rPr>
          <w:rFonts w:hint="eastAsia" w:ascii="仿宋_GB2312" w:eastAsia="仿宋_GB2312"/>
          <w:b/>
          <w:sz w:val="30"/>
          <w:szCs w:val="30"/>
        </w:rPr>
        <w:t xml:space="preserve">    二、部门（单位）整体支出绩效实现情况</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（一）履职完成情况</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1、数量指标</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202</w:t>
      </w:r>
      <w:r>
        <w:rPr>
          <w:rFonts w:hint="eastAsia" w:ascii="仿宋_GB2312" w:eastAsia="仿宋_GB2312"/>
          <w:sz w:val="30"/>
          <w:szCs w:val="30"/>
          <w:lang w:val="en-US" w:eastAsia="zh-CN"/>
        </w:rPr>
        <w:t>2</w:t>
      </w:r>
      <w:r>
        <w:rPr>
          <w:rFonts w:hint="eastAsia" w:ascii="仿宋_GB2312" w:eastAsia="仿宋_GB2312"/>
          <w:sz w:val="30"/>
          <w:szCs w:val="30"/>
        </w:rPr>
        <w:t>年度坚持“三下乡”活动，送戏下乡</w:t>
      </w:r>
      <w:r>
        <w:rPr>
          <w:rFonts w:hint="eastAsia" w:ascii="仿宋_GB2312" w:eastAsia="仿宋_GB2312"/>
          <w:sz w:val="30"/>
          <w:szCs w:val="30"/>
          <w:lang w:val="en-US" w:eastAsia="zh-CN"/>
        </w:rPr>
        <w:t>29</w:t>
      </w:r>
      <w:r>
        <w:rPr>
          <w:rFonts w:hint="eastAsia" w:ascii="仿宋_GB2312" w:eastAsia="仿宋_GB2312"/>
          <w:sz w:val="30"/>
          <w:szCs w:val="30"/>
        </w:rPr>
        <w:t>场次，公益性演出10余场次，促进了进贤县经济发展。</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2、质量指标</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从2022年3月16号接到上级通知和安排，参加我县疫情防控工作，我团工作人员一直奋斗在疫情一线，陆续到8月23日。在2022年5月，由南昌市文广新旅局主办的“南昌短视频团购大赛”在全市开展，我团派出的副经理张彬在“文旅直播带货季”进贤专场直播带货11余万元，为我县文化旅游事业作了小小贡献。2022年六月帮助,导演,编排并参与县幼儿园《进贤县廉洁文化进校园启动仪式活动》小品《拒收红包》，六月二十四号完成演出。六月十七号在进贤民和四小协办南昌市主办的开展戏曲进校园活动，表演节目《变脸》。2022三月根据近几年来党的富民政策尤其是乡村振兴战略，给全国农村带来了的极大优惠和福祉。农村生产和农民创收持续稳定增长，农村环境和面貌焕然一新，广大人民群众的物质生活和文化生活得到了显著的改善和提升，由此我们编剧人员，萌发出编写反映此类主题的作品，把了解和调研的诸多事例糅合在一起，作为素材写成剧本。以形象和直观的画面展现在观众面前。通过系列的走访和采风，编写了反应乡村建设的采茶小戏《乡里招郎》并于七月五号申报了文化和旅游部办公厅关于开展全国舞台艺术优秀节目创作扶持计划。2022年七月一号围绕省委 “双一号工程”、市委“作风整顿专项行动”等重点工作要求，进贤县委县政府把民生资金作为强化日常监督、维护民生民利的重要抓手，在全市试点推出民生资金“码”上监督平台。剧团创作出反应县委县政府“码”上监督工作小品《一“码”当先》，宣传县委县政府码上监督工作。七月二十五号完成剧本并定稿，于八月二十四号开始完善和排练参加县里演出。八月一号扶贫采茶小戏《清零》通过选拔于八月二十二号抚州参加江西省宣传部和文化厅主办的第八届江西艺术节暨第十二届玉茗花戏剧节，并获得新创小戏优秀剧目奖（一等奖）。十月复排古装采茶戏《三拜花堂》、一台歌舞小品，参加下半年送戏下乡工作，宣传关于中央、省、市、县思想方针政策。</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3、时效指标</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我单位在2022年12月31日之前完成所有的演出任务。</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（二）履职效果情况</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进贤县采茶剧团2022年度认真配合文广新旅局的工作计划，传承古装戏传统文化，送戏下戏采茶戏演出，丰富了进贤县群众文化生活。活跃了农村文化舞台，宣传了党的方针政策。</w:t>
      </w:r>
    </w:p>
    <w:p>
      <w:pPr>
        <w:spacing w:beforeAutospacing="0" w:afterAutospacing="0" w:line="560" w:lineRule="exact"/>
        <w:rPr>
          <w:rFonts w:hint="eastAsia" w:ascii="仿宋_GB2312" w:eastAsia="仿宋_GB2312"/>
          <w:b/>
          <w:sz w:val="30"/>
          <w:szCs w:val="30"/>
        </w:rPr>
      </w:pPr>
      <w:r>
        <w:rPr>
          <w:rFonts w:hint="eastAsia" w:ascii="仿宋_GB2312" w:eastAsia="仿宋_GB2312"/>
          <w:b/>
          <w:sz w:val="30"/>
          <w:szCs w:val="30"/>
        </w:rPr>
        <w:t xml:space="preserve">    三、部门整体支出绩效存在问题及改进措施</w:t>
      </w:r>
    </w:p>
    <w:p>
      <w:pPr>
        <w:spacing w:beforeAutospacing="0" w:afterAutospacing="0" w:line="560" w:lineRule="exact"/>
        <w:rPr>
          <w:rFonts w:hint="eastAsia" w:ascii="仿宋_GB2312" w:eastAsia="仿宋_GB2312"/>
          <w:sz w:val="30"/>
          <w:szCs w:val="30"/>
        </w:rPr>
      </w:pPr>
      <w:r>
        <w:rPr>
          <w:rFonts w:hint="eastAsia" w:ascii="仿宋_GB2312" w:eastAsia="仿宋_GB2312"/>
          <w:sz w:val="30"/>
          <w:szCs w:val="30"/>
        </w:rPr>
        <w:t xml:space="preserve">    进贤县采茶剧团人员奇缺，行当参差不齐，靠单位自身演职员排练演困难，需要请外来人员，单位排练经费短缺，难于开展工作，如政府不加大演出经费投入剧团难于生存。</w:t>
      </w:r>
    </w:p>
    <w:p>
      <w:pPr>
        <w:spacing w:before="312" w:beforeAutospacing="0" w:afterAutospacing="0" w:line="560" w:lineRule="exact"/>
        <w:rPr>
          <w:rFonts w:hint="eastAsia" w:ascii="仿宋_GB2312" w:eastAsia="仿宋_GB2312"/>
          <w:sz w:val="30"/>
          <w:szCs w:val="30"/>
        </w:rPr>
      </w:pPr>
    </w:p>
    <w:p>
      <w:pPr>
        <w:spacing w:beforeAutospacing="0" w:afterAutospacing="0" w:line="60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进贤县采茶剧团有限责任公司</w:t>
      </w:r>
    </w:p>
    <w:p>
      <w:pPr>
        <w:spacing w:beforeAutospacing="0" w:afterAutospacing="0" w:line="600" w:lineRule="exact"/>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202</w:t>
      </w:r>
      <w:r>
        <w:rPr>
          <w:rFonts w:hint="eastAsia" w:ascii="仿宋_GB2312" w:eastAsia="仿宋_GB2312"/>
          <w:sz w:val="30"/>
          <w:szCs w:val="30"/>
          <w:lang w:val="en-US" w:eastAsia="zh-CN"/>
        </w:rPr>
        <w:t>3</w:t>
      </w:r>
      <w:r>
        <w:rPr>
          <w:rFonts w:hint="eastAsia" w:ascii="仿宋_GB2312" w:eastAsia="仿宋_GB2312"/>
          <w:sz w:val="30"/>
          <w:szCs w:val="30"/>
        </w:rPr>
        <w:t>年3月2日</w:t>
      </w:r>
    </w:p>
    <w:p>
      <w:pPr>
        <w:tabs>
          <w:tab w:val="left" w:pos="2738"/>
        </w:tabs>
        <w:jc w:val="left"/>
        <w:rPr>
          <w:rFonts w:hint="eastAsia"/>
          <w:szCs w:val="21"/>
        </w:rPr>
      </w:pPr>
    </w:p>
    <w:p>
      <w:pPr>
        <w:adjustRightInd w:val="0"/>
        <w:snapToGrid w:val="0"/>
        <w:spacing w:line="360" w:lineRule="auto"/>
        <w:ind w:firstLine="640" w:firstLineChars="200"/>
        <w:jc w:val="left"/>
        <w:rPr>
          <w:rFonts w:hint="eastAsia" w:ascii="宋体" w:hAnsi="宋体" w:eastAsia="宋体" w:cs="宋体"/>
          <w:sz w:val="32"/>
          <w:szCs w:val="32"/>
        </w:rPr>
      </w:pPr>
    </w:p>
    <w:p>
      <w:pPr>
        <w:widowControl/>
        <w:spacing w:line="600" w:lineRule="exact"/>
        <w:ind w:firstLine="1767" w:firstLineChars="400"/>
        <w:jc w:val="both"/>
        <w:rPr>
          <w:rFonts w:hint="eastAsia" w:ascii="宋体" w:hAnsi="宋体" w:eastAsia="宋体" w:cs="宋体"/>
          <w:b/>
          <w:bCs/>
          <w:color w:val="auto"/>
          <w:sz w:val="44"/>
          <w:szCs w:val="44"/>
        </w:rPr>
      </w:pPr>
    </w:p>
    <w:p>
      <w:pPr>
        <w:widowControl/>
        <w:spacing w:line="600" w:lineRule="exact"/>
        <w:ind w:firstLine="1767" w:firstLineChars="400"/>
        <w:jc w:val="both"/>
        <w:rPr>
          <w:rFonts w:hint="eastAsia" w:ascii="方正小标宋简体" w:hAnsi="方正小标宋简体" w:eastAsia="方正小标宋简体" w:cs="方正小标宋简体"/>
          <w:b w:val="0"/>
          <w:bCs w:val="0"/>
          <w:color w:val="auto"/>
          <w:sz w:val="44"/>
          <w:szCs w:val="44"/>
        </w:rPr>
      </w:pPr>
      <w:r>
        <w:rPr>
          <w:rFonts w:hint="eastAsia" w:ascii="宋体" w:hAnsi="宋体" w:eastAsia="宋体" w:cs="宋体"/>
          <w:b/>
          <w:bCs/>
          <w:color w:val="auto"/>
          <w:sz w:val="44"/>
          <w:szCs w:val="44"/>
        </w:rPr>
        <w:t>第四部分  名词解释</w:t>
      </w:r>
    </w:p>
    <w:p>
      <w:pPr>
        <w:adjustRightInd w:val="0"/>
        <w:snapToGrid w:val="0"/>
        <w:spacing w:line="360" w:lineRule="auto"/>
        <w:ind w:firstLine="640" w:firstLineChars="200"/>
        <w:jc w:val="left"/>
        <w:rPr>
          <w:rFonts w:hint="eastAsia" w:ascii="宋体" w:hAnsi="宋体" w:eastAsia="宋体" w:cs="宋体"/>
          <w:sz w:val="32"/>
          <w:szCs w:val="32"/>
        </w:rPr>
      </w:pPr>
    </w:p>
    <w:p>
      <w:pPr>
        <w:adjustRightInd w:val="0"/>
        <w:snapToGrid w:val="0"/>
        <w:spacing w:line="360" w:lineRule="auto"/>
        <w:ind w:firstLine="640" w:firstLineChars="200"/>
        <w:jc w:val="left"/>
        <w:rPr>
          <w:rFonts w:hint="eastAsia" w:ascii="宋体" w:hAnsi="宋体" w:eastAsia="宋体" w:cs="宋体"/>
          <w:sz w:val="32"/>
          <w:szCs w:val="32"/>
        </w:rPr>
      </w:pPr>
      <w:r>
        <w:rPr>
          <w:rFonts w:hint="eastAsia" w:ascii="宋体" w:hAnsi="宋体" w:eastAsia="宋体" w:cs="宋体"/>
          <w:sz w:val="32"/>
          <w:szCs w:val="32"/>
        </w:rPr>
        <w:t>1、基本支出：是指预算单位为保障其机构正常运转、完成日常工作任务而需要发生的支出，包括人员经费和日常公用经费两部分。</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2、项目支出：是指预算单位在基本支出之外为完成其特定行政任务或事业发展目标所发生的支出。</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3、财政拨款：指县级财政当年拨付的资金。</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4、事业收入：指事业单位开展专业业务活动及辅助活动取得的收入。</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5、事业单位经营收入：指事业单位在专业业务活动及辅助活动之外开展非独立核算经营活动取得的收入。</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6、上年结转和结余：指以前年度滚存结转结余资金。</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7、行政运行：反映行政单位（包括参公单位）的基本支出。</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8、事业运行：反映事业单位的基本支出。</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9、行政单位医疗：反映行政单位（包括参公单位）的医疗保险缴费支出。</w:t>
      </w:r>
    </w:p>
    <w:p>
      <w:pPr>
        <w:widowControl/>
        <w:adjustRightInd w:val="0"/>
        <w:snapToGrid w:val="0"/>
        <w:spacing w:line="360" w:lineRule="auto"/>
        <w:ind w:firstLine="640"/>
        <w:jc w:val="left"/>
        <w:rPr>
          <w:rFonts w:hint="eastAsia" w:ascii="宋体" w:hAnsi="宋体" w:eastAsia="宋体" w:cs="宋体"/>
          <w:sz w:val="32"/>
          <w:szCs w:val="32"/>
        </w:rPr>
      </w:pPr>
      <w:r>
        <w:rPr>
          <w:rFonts w:hint="eastAsia" w:ascii="宋体" w:hAnsi="宋体" w:eastAsia="宋体" w:cs="宋体"/>
          <w:sz w:val="32"/>
          <w:szCs w:val="32"/>
        </w:rPr>
        <w:t>10、事业单位医疗：反映事业单位的医疗保险缴费支出。</w:t>
      </w:r>
    </w:p>
    <w:p>
      <w:pPr>
        <w:adjustRightInd w:val="0"/>
        <w:snapToGrid w:val="0"/>
        <w:spacing w:line="360" w:lineRule="auto"/>
        <w:ind w:firstLine="652" w:firstLineChars="204"/>
        <w:jc w:val="left"/>
        <w:rPr>
          <w:rFonts w:hint="eastAsia" w:ascii="宋体" w:hAnsi="宋体" w:eastAsia="宋体" w:cs="宋体"/>
          <w:sz w:val="32"/>
          <w:szCs w:val="32"/>
          <w:lang w:val="en-US" w:eastAsia="zh-CN"/>
        </w:rPr>
      </w:pPr>
      <w:r>
        <w:rPr>
          <w:rFonts w:hint="eastAsia" w:ascii="宋体" w:hAnsi="宋体" w:eastAsia="宋体" w:cs="宋体"/>
          <w:sz w:val="32"/>
          <w:szCs w:val="32"/>
        </w:rPr>
        <w:t>11、机关事业单位基本养老保险缴费支出：反映机关事业单位实施养老保险制度由单位缴纳的基本养老保险费支</w:t>
      </w:r>
      <w:r>
        <w:rPr>
          <w:rFonts w:hint="eastAsia" w:ascii="宋体" w:hAnsi="宋体" w:cs="宋体"/>
          <w:sz w:val="32"/>
          <w:szCs w:val="32"/>
          <w:lang w:val="en-US" w:eastAsia="zh-CN"/>
        </w:rPr>
        <w:t>出</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12、机关事业单位职业年金缴费支出：反映机关事业单位实施养老保险制度由单位实际缴纳的职业年金支出。</w:t>
      </w:r>
    </w:p>
    <w:p>
      <w:pPr>
        <w:adjustRightInd w:val="0"/>
        <w:snapToGrid w:val="0"/>
        <w:spacing w:line="360" w:lineRule="auto"/>
        <w:ind w:firstLine="652" w:firstLineChars="204"/>
        <w:jc w:val="left"/>
        <w:rPr>
          <w:rFonts w:hint="eastAsia" w:ascii="宋体" w:hAnsi="宋体" w:eastAsia="宋体" w:cs="宋体"/>
          <w:sz w:val="32"/>
          <w:szCs w:val="32"/>
        </w:rPr>
      </w:pPr>
      <w:r>
        <w:rPr>
          <w:rFonts w:hint="eastAsia" w:ascii="宋体" w:hAnsi="宋体" w:eastAsia="宋体" w:cs="宋体"/>
          <w:sz w:val="32"/>
          <w:szCs w:val="32"/>
        </w:rPr>
        <w:t>13、住房公积金：反映行政事业单位按人力资源和社会保障部、财政部规定的基本工资和津补贴以及规定比例为职工缴纳的住房公积金。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firstLineChars="200"/>
        <w:textAlignment w:val="baseline"/>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14、</w:t>
      </w:r>
      <w:r>
        <w:rPr>
          <w:rFonts w:hint="eastAsia" w:ascii="宋体" w:hAnsi="宋体" w:eastAsia="宋体" w:cs="宋体"/>
          <w:color w:val="auto"/>
          <w:kern w:val="0"/>
          <w:sz w:val="30"/>
          <w:szCs w:val="30"/>
        </w:rPr>
        <w:t>“三公”经费支出</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textAlignment w:val="baseline"/>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rPr>
        <w:t>15</w:t>
      </w:r>
      <w:r>
        <w:rPr>
          <w:rFonts w:hint="eastAsia" w:ascii="宋体" w:hAnsi="宋体" w:cs="宋体"/>
          <w:color w:val="auto"/>
          <w:kern w:val="0"/>
          <w:sz w:val="30"/>
          <w:szCs w:val="30"/>
          <w:lang w:val="en-US" w:eastAsia="zh-CN"/>
        </w:rPr>
        <w:t>、</w:t>
      </w:r>
      <w:r>
        <w:rPr>
          <w:rFonts w:hint="eastAsia" w:ascii="宋体" w:hAnsi="宋体" w:eastAsia="宋体" w:cs="宋体"/>
          <w:color w:val="auto"/>
          <w:kern w:val="0"/>
          <w:sz w:val="30"/>
          <w:szCs w:val="30"/>
        </w:rPr>
        <w:t>机关运行经费支出</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00"/>
        <w:textAlignment w:val="baseline"/>
        <w:rPr>
          <w:rFonts w:ascii="仿宋_GB2312" w:hAnsi="仿宋_GB2312" w:eastAsia="仿宋_GB2312"/>
          <w:sz w:val="30"/>
          <w:szCs w:val="30"/>
        </w:rPr>
      </w:pPr>
    </w:p>
    <w:p>
      <w:pPr>
        <w:ind w:firstLine="600"/>
        <w:rPr>
          <w:rFonts w:hint="eastAsia" w:ascii="仿宋_GB2312" w:hAnsi="仿宋_GB2312" w:eastAsia="仿宋_GB2312"/>
          <w:color w:val="auto"/>
          <w:kern w:val="0"/>
          <w:sz w:val="30"/>
          <w:szCs w:val="30"/>
          <w:lang w:val="en-US" w:eastAsia="zh-CN"/>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6"/>
        <w:keepNext w:val="0"/>
        <w:keepLines w:val="0"/>
        <w:pageBreakBefore w:val="0"/>
        <w:wordWrap/>
        <w:overflowPunct/>
        <w:topLinePunct w:val="0"/>
        <w:bidi w:val="0"/>
        <w:spacing w:line="600" w:lineRule="exact"/>
        <w:ind w:firstLine="600"/>
        <w:jc w:val="both"/>
        <w:rPr>
          <w:rFonts w:hint="eastAsia" w:ascii="仿宋_GB2312" w:hAns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b/>
          <w:bCs/>
          <w:color w:val="FF0000"/>
          <w:kern w:val="0"/>
          <w:sz w:val="32"/>
          <w:szCs w:val="32"/>
          <w:lang w:val="en-US" w:eastAsia="zh-CN"/>
        </w:rPr>
        <w:t>应对报表项目、政府收支分类科目进行适当说明。</w:t>
      </w:r>
      <w:r>
        <w:rPr>
          <w:rFonts w:hint="eastAsia" w:ascii="仿宋_GB2312" w:hAnsi="仿宋_GB2312" w:eastAsia="仿宋_GB2312"/>
          <w:b w:val="0"/>
          <w:bCs w:val="0"/>
          <w:color w:val="auto"/>
          <w:kern w:val="0"/>
          <w:sz w:val="32"/>
          <w:szCs w:val="32"/>
          <w:lang w:val="en-US" w:eastAsia="zh-CN"/>
        </w:rPr>
        <w:t>（</w:t>
      </w:r>
      <w:r>
        <w:rPr>
          <w:rFonts w:hint="eastAsia" w:ascii="仿宋_GB2312" w:hAnsi="仿宋_GB2312" w:eastAsia="仿宋_GB2312"/>
          <w:color w:val="auto"/>
          <w:kern w:val="0"/>
          <w:sz w:val="32"/>
          <w:szCs w:val="32"/>
        </w:rPr>
        <w:t>以财务会计制度、政府收支分类科目以及部门预算管理等规定为</w:t>
      </w:r>
      <w:r>
        <w:rPr>
          <w:rFonts w:hint="eastAsia" w:ascii="仿宋_GB2312" w:hAnsi="仿宋_GB2312" w:eastAsia="仿宋_GB2312"/>
          <w:color w:val="auto"/>
          <w:kern w:val="0"/>
          <w:sz w:val="32"/>
          <w:szCs w:val="32"/>
          <w:lang w:val="en-US" w:eastAsia="zh-CN"/>
        </w:rPr>
        <w:t>准</w:t>
      </w:r>
      <w:r>
        <w:rPr>
          <w:rFonts w:hint="eastAsia" w:ascii="仿宋_GB2312" w:hAnsi="仿宋_GB2312" w:eastAsia="仿宋_GB2312"/>
          <w:color w:val="auto"/>
          <w:kern w:val="0"/>
          <w:sz w:val="32"/>
          <w:szCs w:val="32"/>
        </w:rPr>
        <w:t>，可结合部门实际情况适当细化</w:t>
      </w:r>
      <w:r>
        <w:rPr>
          <w:rFonts w:hint="eastAsia" w:ascii="仿宋_GB2312" w:hAnsi="仿宋_GB2312"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b w:val="0"/>
          <w:bCs w:val="0"/>
          <w:color w:val="auto"/>
          <w:kern w:val="0"/>
          <w:sz w:val="32"/>
          <w:szCs w:val="32"/>
        </w:rPr>
        <w:t>“三公”经费支出和机关运行经费支出口径</w:t>
      </w:r>
      <w:r>
        <w:rPr>
          <w:rFonts w:hint="eastAsia" w:ascii="仿宋_GB2312" w:hAnsi="仿宋_GB2312" w:eastAsia="仿宋_GB2312"/>
          <w:b w:val="0"/>
          <w:bCs w:val="0"/>
          <w:color w:val="auto"/>
          <w:kern w:val="0"/>
          <w:sz w:val="32"/>
          <w:szCs w:val="32"/>
          <w:lang w:val="en-US" w:eastAsia="zh-CN"/>
        </w:rPr>
        <w:t>必须</w:t>
      </w:r>
      <w:r>
        <w:rPr>
          <w:rFonts w:hint="eastAsia" w:ascii="仿宋_GB2312" w:hAnsi="仿宋_GB2312" w:eastAsia="仿宋_GB2312"/>
          <w:b w:val="0"/>
          <w:bCs w:val="0"/>
          <w:color w:val="auto"/>
          <w:kern w:val="0"/>
          <w:sz w:val="32"/>
          <w:szCs w:val="32"/>
        </w:rPr>
        <w:t>予以说</w:t>
      </w:r>
      <w:r>
        <w:rPr>
          <w:rFonts w:hint="eastAsia" w:ascii="仿宋_GB2312" w:hAnsi="仿宋_GB2312" w:eastAsia="仿宋_GB2312"/>
          <w:b w:val="0"/>
          <w:bCs w:val="0"/>
          <w:color w:val="auto"/>
          <w:kern w:val="0"/>
          <w:sz w:val="32"/>
          <w:szCs w:val="32"/>
          <w:lang w:val="en-US" w:eastAsia="zh-CN"/>
        </w:rPr>
        <w:t>明</w:t>
      </w:r>
      <w:r>
        <w:rPr>
          <w:rFonts w:hint="eastAsia" w:ascii="仿宋_GB2312" w:hAnsi="仿宋_GB2312" w:eastAsia="仿宋_GB2312"/>
          <w:color w:val="auto"/>
          <w:kern w:val="0"/>
          <w:sz w:val="32"/>
          <w:szCs w:val="32"/>
          <w:lang w:val="en-US" w:eastAsia="zh-CN"/>
        </w:rPr>
        <w:t>（可参照如下格式进行说明）：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“三公”经费支出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kern w:val="0"/>
          <w:sz w:val="32"/>
          <w:szCs w:val="32"/>
        </w:rPr>
        <w:t>机关运行经费支出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E2848A-CAD2-4713-970F-909CA58388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163B71FD-F815-44F3-8A99-068B6D339B9D}"/>
  </w:font>
  <w:font w:name="仿宋_GB2312">
    <w:altName w:val="仿宋"/>
    <w:panose1 w:val="02010609030101010101"/>
    <w:charset w:val="86"/>
    <w:family w:val="auto"/>
    <w:pitch w:val="default"/>
    <w:sig w:usb0="00000000" w:usb1="00000000" w:usb2="00000000" w:usb3="00000000" w:csb0="00040000" w:csb1="00000000"/>
    <w:embedRegular r:id="rId3" w:fontKey="{AACFF01E-179C-4D11-893A-6D411E579B4F}"/>
  </w:font>
  <w:font w:name="仿宋">
    <w:panose1 w:val="02010609060101010101"/>
    <w:charset w:val="86"/>
    <w:family w:val="auto"/>
    <w:pitch w:val="default"/>
    <w:sig w:usb0="800002BF" w:usb1="38CF7CFA" w:usb2="00000016" w:usb3="00000000" w:csb0="00040001" w:csb1="00000000"/>
    <w:embedRegular r:id="rId4" w:fontKey="{912BBD6E-4168-44E0-A28E-461846E80D64}"/>
  </w:font>
  <w:font w:name="方正公文小标宋">
    <w:panose1 w:val="02000500000000000000"/>
    <w:charset w:val="86"/>
    <w:family w:val="auto"/>
    <w:pitch w:val="default"/>
    <w:sig w:usb0="A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楷体_GBK">
    <w:altName w:val="方正楷体_GBK"/>
    <w:panose1 w:val="02000000000000000000"/>
    <w:charset w:val="86"/>
    <w:family w:val="auto"/>
    <w:pitch w:val="default"/>
    <w:sig w:usb0="800002BF" w:usb1="38CF7CFA" w:usb2="00000016" w:usb3="00000000" w:csb0="00040000" w:csb1="00000000"/>
  </w:font>
  <w:font w:name="方正仿宋_GB2312">
    <w:panose1 w:val="02000000000000000000"/>
    <w:charset w:val="86"/>
    <w:family w:val="auto"/>
    <w:pitch w:val="default"/>
    <w:sig w:usb0="A00002BF" w:usb1="184F6CFA" w:usb2="00000012" w:usb3="00000000" w:csb0="00040001" w:csb1="00000000"/>
  </w:font>
  <w:font w:name="方正仿宋_GB18030">
    <w:panose1 w:val="02000000000000000000"/>
    <w:charset w:val="86"/>
    <w:family w:val="auto"/>
    <w:pitch w:val="default"/>
    <w:sig w:usb0="00000001" w:usb1="0800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03" w:usb1="288F0000" w:usb2="00000006" w:usb3="00000000" w:csb0="00040001" w:csb1="00000000"/>
  </w:font>
  <w:font w:name="时尚中黑简体">
    <w:panose1 w:val="01010104010101010101"/>
    <w:charset w:val="86"/>
    <w:family w:val="auto"/>
    <w:pitch w:val="default"/>
    <w:sig w:usb0="800002BF" w:usb1="184F6CF8" w:usb2="00000012" w:usb3="00000000" w:csb0="00040001"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embedRegular r:id="rId5" w:fontKey="{2855E401-922D-4FB0-835F-688047A10B9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15 -</w:t>
    </w:r>
    <w:r>
      <w:rPr>
        <w:sz w:val="28"/>
        <w:szCs w:val="28"/>
      </w:rPr>
      <w:fldChar w:fldCharType="end"/>
    </w:r>
  </w:p>
  <w:p>
    <w:pPr>
      <w:pStyle w:val="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pPr>
      <w:pStyle w:val="2"/>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9A44A"/>
    <w:multiLevelType w:val="singleLevel"/>
    <w:tmpl w:val="B829A4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OWIxNzg2MWUzMzg4NzBmYjE5NzdlNDcxMmM0YWUifQ=="/>
  </w:docVars>
  <w:rsids>
    <w:rsidRoot w:val="6D7D6800"/>
    <w:rsid w:val="1B2B0E96"/>
    <w:rsid w:val="22CF0F38"/>
    <w:rsid w:val="279E1427"/>
    <w:rsid w:val="33FE167D"/>
    <w:rsid w:val="43205C9C"/>
    <w:rsid w:val="4B7A5C20"/>
    <w:rsid w:val="4CFD71B6"/>
    <w:rsid w:val="539F7E9C"/>
    <w:rsid w:val="53FA37B7"/>
    <w:rsid w:val="642200F4"/>
    <w:rsid w:val="69402499"/>
    <w:rsid w:val="6D7D6800"/>
    <w:rsid w:val="7F20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灿烂阳光</cp:lastModifiedBy>
  <dcterms:modified xsi:type="dcterms:W3CDTF">2023-11-28T12:37:58Z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097B1A24B97747A5947AD7CFADB5335D_12</vt:lpwstr>
  </property>
</Properties>
</file>