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  <w:lang w:val="en-US" w:eastAsia="zh-CN"/>
        </w:rPr>
        <w:t>进贤县不动产登记中心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年度决算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目    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进贤县不动产登记中心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一、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主要职责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第二部分  202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年度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/>
          <w:color w:val="auto"/>
          <w:sz w:val="32"/>
          <w:szCs w:val="32"/>
        </w:rPr>
        <w:t>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一、收入支出决算总表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二、收入决算表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三、支出决算表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四、财政拨款收入支出决算总表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五、一般公共预算财政拨款支出决算表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六、一般公共预算财政拨款基本支出决算表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政府性基金预算财政拨款收入支出决算表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八、国有资本经营预算财政拨款支出决算表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财政拨款“三公”经费支出决算表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、国有资产占用情况表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第三部分  202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年度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/>
          <w:color w:val="auto"/>
          <w:sz w:val="32"/>
          <w:szCs w:val="32"/>
        </w:rPr>
        <w:t>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一、收入决算情况说明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二、支出决算情况说明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三、财政拨款支出决算情况说明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四、一般公共预算财政拨款基本支出决算情况说明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五、财政拨款“三公”经费支出决算情况说明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六、机关运行经费支出情况说明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七、政府采购支出情况说明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八、国有资产占用情况说明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九、预算绩效情况说明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第四部分  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 xml:space="preserve">第一部分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进贤县不动产登记中心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center"/>
        <w:textAlignment w:val="auto"/>
        <w:rPr>
          <w:rFonts w:hint="eastAsia"/>
          <w:color w:val="auto"/>
          <w:sz w:val="32"/>
          <w:szCs w:val="32"/>
        </w:rPr>
      </w:pPr>
    </w:p>
    <w:p>
      <w:pPr>
        <w:ind w:firstLine="63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开展不动产登记理论、政策和技术的研究。承担了三项事务性工件：一项是国有重点林区林地、森林林木的登记发证。二是国务院批准的项目用海、用岛的海域使用权的登记发证。第三是中央国家机关使用的国有土地登记发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2、协助国土资源部开展不动产统一登记规范化建设工作，承担不动产权利证书的监制和管理。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3、承担各类不动产登记资料的收集、整理的数据分析工作，开展不动产登记资料公开查询制度要建设研究，承担不动产登记成果应用与社会化服务等工作。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4、开展不动产登记产权制度以及不动产确权和权属争议调处的理论、政策研究。承担国土资源部交办的不动产权属争议案件调查、取证和调处工作。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/>
          <w:color w:val="auto"/>
          <w:sz w:val="32"/>
          <w:szCs w:val="32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本单位设立1个内设机构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年年末实有人数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人，其中在职人员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人，离休人员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人，退休人员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不含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由养老保险基金发放养老金的离退休人员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；年末其他人员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人；年末学生人数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由养老保险基金发放养老金的离退休人员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第二部分  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决算表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color w:val="auto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5268595" cy="5478780"/>
            <wp:effectExtent l="0" t="0" r="8255" b="7620"/>
            <wp:docPr id="1" name="图片 1" descr="1701222100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12221006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宋体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5263515" cy="2125980"/>
            <wp:effectExtent l="0" t="0" r="13335" b="7620"/>
            <wp:docPr id="2" name="图片 2" descr="170122217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12221726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5265420" cy="2620010"/>
            <wp:effectExtent l="0" t="0" r="11430" b="8890"/>
            <wp:docPr id="3" name="图片 3" descr="170122222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12222228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3967480"/>
            <wp:effectExtent l="0" t="0" r="4445" b="13970"/>
            <wp:docPr id="4" name="图片 4" descr="1701222344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0122234458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5271135" cy="3821430"/>
            <wp:effectExtent l="0" t="0" r="5715" b="7620"/>
            <wp:docPr id="5" name="图片 5" descr="1701222390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012223908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160645" cy="8154035"/>
            <wp:effectExtent l="0" t="0" r="1905" b="18415"/>
            <wp:docPr id="6" name="图片 6" descr="1701222484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0122248469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3040" cy="2008505"/>
            <wp:effectExtent l="0" t="0" r="3810" b="10795"/>
            <wp:docPr id="7" name="图片 7" descr="1701222529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0122252936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宋体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宋体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宋体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宋体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865" cy="3039110"/>
            <wp:effectExtent l="0" t="0" r="6985" b="8890"/>
            <wp:docPr id="8" name="图片 8" descr="170122256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70122256344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4310" cy="5051425"/>
            <wp:effectExtent l="0" t="0" r="2540" b="15875"/>
            <wp:docPr id="9" name="图片 9" descr="1701222623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7012226233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5269230" cy="3503930"/>
            <wp:effectExtent l="0" t="0" r="7620" b="1270"/>
            <wp:docPr id="10" name="图片 10" descr="170122264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7012226459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br w:type="page"/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第三部分  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决算情况说明</w:t>
      </w:r>
    </w:p>
    <w:p>
      <w:pPr>
        <w:ind w:firstLine="630"/>
        <w:jc w:val="left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一、收入决算情况说明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年度收入总计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437.01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万元，其中年初结转和结余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减少76.2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下降14.8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%；本年收入合计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437.01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年减少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76.2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万元，下降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14.8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2022年项目结束，支出减少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本年收入的具体构成为：财政拨款收入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407.24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万元，占 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93.1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%；其他收入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29.76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万元，占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6.8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%。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二、支出决算情况说明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年度支出总计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437.01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万元，其中本年支出合计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430.81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减少82.4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万元，下降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16.1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2022年项目结束，支出减少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；年末结转和结余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6.19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年增加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6.19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万元，增长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本单位职工退绩效奖金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本年支出的具体构成为：基本支出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430.81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万元，占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三、财政拨款支出决算情况说明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年度财政拨款本年支出年初预算数为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404.64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万元，决算数为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407.24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万元，完成年初预算的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100.6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%。其中：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（一）社会保障和就业支出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年初预算数为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29.31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万元，决算数为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29.31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万元，完成年初预算的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支出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年初预算数为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24.68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万元，决算数为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23.81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万元，完成年初预算的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96.4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自然资源海洋气象等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支出部分调整至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支出，故决算数减少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自然资源海洋气象等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支出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年初预算数为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286.65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万元，决算数为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290.11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万元，完成年初预算的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101.2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自然资源海洋气象等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支出部分调整至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支出，故决算数增加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（四）住房保障支出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年初预算数为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万元，决算数为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万元，完成年初预算的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85"/>
        <w:jc w:val="both"/>
        <w:textAlignment w:val="baseline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四、一般公共预算财政拨款基本支出决算情况说明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85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年度一般公共预算财政拨款基本支出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407.24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85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（一）工资福利支出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351.76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年增加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6.04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万元，增长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1.8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工会福利支出由自然资源局转至本单位，支出增加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85"/>
        <w:jc w:val="both"/>
        <w:textAlignment w:val="baseline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（二）商品和服务支出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4.19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年减少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16.67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万元，下降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497.8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项目结束，商品和服务支持减少。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85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（三）对个人和家庭补助支出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50.77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年减少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68.04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万元，下降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234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当年绩效等奖金未发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85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（四）资本性支出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0.52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年增加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0.52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万元，增长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办公政府采购支出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五、财政拨款“三公”经费支出决算情况说明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年度财政拨款“三公”经费支出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预算数为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万元，决算数为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0.07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万元，完成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预算的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3.5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%，决算数较20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年减少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0.57，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下降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914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%，其中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default" w:ascii="仿宋_GB2312" w:hAnsi="仿宋_GB2312" w:eastAsia="仿宋_GB2312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（一）因公出国（境）支出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预算数为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万元，决算数为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万元，完成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预算的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%，决算数较20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年增加（减少）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万元，增长（下降）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主要原因是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没有因公出国事项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决算数较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预算数增加（减少）的主要原因是：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没有因公出国事项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全年安排因公出国（境）团组0个，累计0人次，主要为：没有因公出国事项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default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（二）公务接待费支出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预算数为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0.07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万元，决算数为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0.07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万元，完成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预算的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100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%，决算数较20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年减少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0.57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万元，下降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91.4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主要原因是不动产登记业务成熟，可以进行日常业务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。决算数较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预算数减少的主要原因是：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当年预算参照上年预算，预算有差距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全年国内公务接待1批，累计接待7人次，其中外事接待0批，累计接待0人次，主要为：业务咨询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（三）公务用车购置及运行维护费支出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万元，其中公务用车购置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预算数为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万元，决算数为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万元，完成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预算的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%，决算数较20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年增加（减少）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万元，增长（下降）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主要原因是无公务用车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全年购置公务用车0 辆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。决算数较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预算数增加（减少）的主要原因是：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无公务用车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；公务用车运行维护费支出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预算数为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万元，决算数为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万元，完成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预算的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 xml:space="preserve"> %，决算数较20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年增加（减少）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万元，增长（下降）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主要原因是无公务用车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年末公务用车保有0辆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。决算数较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预算数增加（减少）的主要原因是：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无公务用车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六、机关运行经费支出情况说明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年度机关运行经费支出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30"/>
        <w:jc w:val="left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lang w:val="en-US" w:eastAsia="zh-CN"/>
        </w:rPr>
        <w:t>本单位不是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行政单位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参照公务员法管理事业单位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lang w:val="en-US" w:eastAsia="zh-CN"/>
        </w:rPr>
        <w:t>故无机关运行经费支出。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七、政府采购支出情况说明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00"/>
        <w:jc w:val="both"/>
        <w:textAlignment w:val="baseline"/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年度政府采购支出总额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0.52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万元，其中：政府采购货物支出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0.52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万元、政府采购工程支出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万元、政府采购服务支出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万元。授予中小企业合同金额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万元，占政府采购支出总额的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%，其中：授予小微企业合同金额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0.52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万元，占授予中小企业合同金额的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；货物采购授予中小企业合同金额占货物支出金额的0%，工程采购授予中小企业合同金额占工程支出金额的0 %，服务采购授予中小企业合同金额占服务支出金额的0%。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0"/>
        <w:jc w:val="both"/>
        <w:textAlignment w:val="baseline"/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八、国有资产占用情况说明</w:t>
      </w:r>
    </w:p>
    <w:p>
      <w:pPr>
        <w:ind w:firstLine="630"/>
        <w:jc w:val="left"/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截止202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年12月31日，本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国有资产占用情况见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公开10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表《国有资产占用情况表》。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本单位无公务用车，无其他用车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九、预算绩效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val="en-US" w:eastAsia="zh-CN"/>
        </w:rPr>
        <w:t>评价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（一）绩效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工作开展情况。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2022年无项目支出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。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二）单位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决算中项目绩效自评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结果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2022年无项目支出。</w:t>
      </w:r>
    </w:p>
    <w:p>
      <w:pPr>
        <w:autoSpaceDE w:val="0"/>
        <w:autoSpaceDN w:val="0"/>
        <w:adjustRightInd w:val="0"/>
        <w:spacing w:line="360" w:lineRule="auto"/>
        <w:ind w:firstLine="6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第四部分  名词解释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00"/>
        <w:jc w:val="both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应对报表项目、政府收支分类科目进行适当说明。（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以财务会计制度、政府收支分类科目以及部门预算管理等规定为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准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，可结合部门实际情况适当细化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“三公”经费支出和机关运行经费支出口径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予以说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明（可参照如下格式进行说明）：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“三公”经费支出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指用财政拨款安排的因公出国（境）费、公务用车购置及运行维护费和公务接待费。其中，因公出国（境）费反映单位公务出国（境）的国际旅费、国外城市间交通费、住宿费、伙食费、培训费、公杂费等支出；公务用车购置及运行维护费反映单位公务用车车辆购置支出（含车辆购置税、牌照费），按规定保留的公务用车燃料费、维修费、过桥过路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机关运行经费支出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指用财政拨款安排的为保障行政单位（包括参照公务员法管理的事业单位）运行用于购买货物和服务的各项资金，包括办公费、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rPr>
          <w:b w:val="0"/>
          <w:bCs w:val="0"/>
          <w:color w:val="auto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7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YTI3YjVmYmUwMGQzYjNhZDJiZjBiZDU5OGFlZWQifQ=="/>
  </w:docVars>
  <w:rsids>
    <w:rsidRoot w:val="6D7D6800"/>
    <w:rsid w:val="46B30F97"/>
    <w:rsid w:val="4FAF38E1"/>
    <w:rsid w:val="5D355860"/>
    <w:rsid w:val="66834785"/>
    <w:rsid w:val="6D7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2023-09-21T09:00:00Z</dcterms:created>
  <dc:creator>xiaxia</dc:creator>
  <cp:lastModifiedBy>嘘.沉默是金</cp:lastModifiedBy>
  <cp:lastPrinted>2023-11-29T07:40:26Z</cp:lastPrinted>
  <dcterms:modified xsi:type="dcterms:W3CDTF">2023-11-30T02:36:23Z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424878FEA3A048A29636B86144B5D6F7_13</vt:lpwstr>
  </property>
</Properties>
</file>