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2022年度县级部门决算公开：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36"/>
          <w:lang w:val="en-US" w:eastAsia="zh-CN"/>
        </w:rPr>
      </w:pPr>
      <w:r>
        <w:rPr>
          <w:rFonts w:hint="eastAsia" w:ascii="方正小标宋简体" w:hAnsi="方正小标宋简体" w:eastAsia="方正小标宋简体" w:cs="方正小标宋简体"/>
          <w:b w:val="0"/>
          <w:bCs w:val="0"/>
          <w:color w:val="auto"/>
          <w:sz w:val="44"/>
          <w:szCs w:val="36"/>
          <w:lang w:val="en-US" w:eastAsia="zh-CN"/>
        </w:rPr>
        <w:t>进贤县商务局</w:t>
      </w:r>
      <w:r>
        <w:rPr>
          <w:rFonts w:hint="eastAsia" w:ascii="方正小标宋简体" w:hAnsi="方正小标宋简体" w:eastAsia="方正小标宋简体" w:cs="方正小标宋简体"/>
          <w:b w:val="0"/>
          <w:bCs w:val="0"/>
          <w:color w:val="auto"/>
          <w:sz w:val="44"/>
          <w:szCs w:val="36"/>
        </w:rPr>
        <w:t>部门202</w:t>
      </w:r>
      <w:r>
        <w:rPr>
          <w:rFonts w:hint="eastAsia" w:ascii="方正小标宋简体" w:hAnsi="方正小标宋简体" w:eastAsia="方正小标宋简体" w:cs="方正小标宋简体"/>
          <w:b w:val="0"/>
          <w:bCs w:val="0"/>
          <w:color w:val="auto"/>
          <w:sz w:val="44"/>
          <w:szCs w:val="36"/>
          <w:lang w:val="en-US" w:eastAsia="zh-CN"/>
        </w:rPr>
        <w:t>2</w:t>
      </w:r>
      <w:r>
        <w:rPr>
          <w:rFonts w:hint="eastAsia" w:ascii="方正小标宋简体" w:hAnsi="方正小标宋简体" w:eastAsia="方正小标宋简体" w:cs="方正小标宋简体"/>
          <w:b w:val="0"/>
          <w:bCs w:val="0"/>
          <w:color w:val="auto"/>
          <w:sz w:val="44"/>
          <w:szCs w:val="36"/>
        </w:rPr>
        <w:t>年度部门决算</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eastAsia="黑体"/>
          <w:color w:val="auto"/>
          <w:sz w:val="44"/>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sz w:val="40"/>
          <w:szCs w:val="36"/>
        </w:rPr>
      </w:pPr>
      <w:r>
        <w:rPr>
          <w:rFonts w:hint="eastAsia" w:ascii="黑体" w:hAnsi="黑体" w:eastAsia="黑体" w:cs="黑体"/>
          <w:b/>
          <w:bCs/>
          <w:color w:val="auto"/>
          <w:sz w:val="40"/>
          <w:szCs w:val="36"/>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olor w:val="auto"/>
          <w:sz w:val="32"/>
          <w:szCs w:val="30"/>
        </w:rPr>
      </w:pP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b w:val="0"/>
          <w:bCs/>
          <w:color w:val="auto"/>
          <w:sz w:val="32"/>
          <w:szCs w:val="32"/>
        </w:rPr>
      </w:pPr>
      <w:r>
        <w:rPr>
          <w:rFonts w:hint="eastAsia" w:ascii="黑体" w:hAnsi="黑体" w:eastAsia="黑体"/>
          <w:b w:val="0"/>
          <w:bCs/>
          <w:color w:val="auto"/>
          <w:sz w:val="32"/>
          <w:szCs w:val="32"/>
        </w:rPr>
        <w:t xml:space="preserve">第一部分  </w:t>
      </w:r>
      <w:r>
        <w:rPr>
          <w:rFonts w:hint="eastAsia" w:ascii="黑体" w:hAnsi="黑体" w:eastAsia="黑体"/>
          <w:b w:val="0"/>
          <w:bCs/>
          <w:color w:val="auto"/>
          <w:sz w:val="32"/>
          <w:szCs w:val="32"/>
          <w:lang w:val="en-US" w:eastAsia="zh-CN"/>
        </w:rPr>
        <w:t>进贤县商务局</w:t>
      </w:r>
      <w:r>
        <w:rPr>
          <w:rFonts w:hint="eastAsia" w:ascii="黑体" w:hAnsi="黑体" w:eastAsia="黑体"/>
          <w:b w:val="0"/>
          <w:bCs/>
          <w:color w:val="auto"/>
          <w:sz w:val="32"/>
          <w:szCs w:val="32"/>
        </w:rPr>
        <w:t>部门概况</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一、部门主要职责</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二、部门基本情况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二、收入决算表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第五部分  附件</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b/>
          <w:color w:val="auto"/>
          <w:sz w:val="32"/>
          <w:szCs w:val="30"/>
        </w:rPr>
      </w:pPr>
      <w:r>
        <w:rPr>
          <w:rFonts w:hint="eastAsia" w:ascii="宋体" w:hAnsi="宋体"/>
          <w:b/>
          <w:color w:val="auto"/>
          <w:sz w:val="36"/>
          <w:szCs w:val="36"/>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 xml:space="preserve">第一部分  </w:t>
      </w:r>
      <w:r>
        <w:rPr>
          <w:rFonts w:hint="eastAsia" w:ascii="方正小标宋简体" w:hAnsi="方正小标宋简体" w:eastAsia="方正小标宋简体" w:cs="方正小标宋简体"/>
          <w:b w:val="0"/>
          <w:bCs/>
          <w:color w:val="auto"/>
          <w:sz w:val="44"/>
          <w:szCs w:val="44"/>
          <w:lang w:val="en-US" w:eastAsia="zh-CN"/>
        </w:rPr>
        <w:t>进贤县商务局</w:t>
      </w:r>
      <w:r>
        <w:rPr>
          <w:rFonts w:hint="eastAsia" w:ascii="方正小标宋简体" w:hAnsi="方正小标宋简体" w:eastAsia="方正小标宋简体" w:cs="方正小标宋简体"/>
          <w:b w:val="0"/>
          <w:bCs/>
          <w:color w:val="auto"/>
          <w:sz w:val="44"/>
          <w:szCs w:val="44"/>
        </w:rPr>
        <w:t>部门概况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一、部门主要职能</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（一）</w:t>
      </w:r>
      <w:r>
        <w:rPr>
          <w:rFonts w:hint="eastAsia" w:ascii="仿宋_GB2312" w:hAnsi="仿宋" w:eastAsia="仿宋_GB2312" w:cs="Times New Roman"/>
          <w:snapToGrid/>
          <w:kern w:val="2"/>
          <w:sz w:val="32"/>
          <w:szCs w:val="32"/>
          <w:lang w:eastAsia="zh-CN"/>
        </w:rPr>
        <w:t>根据我县经济和社会发展战略及市下达任务负责制定全县招商引资的年度计划和考核办法。</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（二）</w:t>
      </w:r>
      <w:r>
        <w:rPr>
          <w:rFonts w:hint="eastAsia" w:ascii="仿宋_GB2312" w:hAnsi="仿宋" w:eastAsia="仿宋_GB2312" w:cs="Times New Roman"/>
          <w:snapToGrid/>
          <w:kern w:val="2"/>
          <w:sz w:val="32"/>
          <w:szCs w:val="32"/>
          <w:lang w:eastAsia="zh-CN"/>
        </w:rPr>
        <w:t>负责组织、协调和参加各项招商活动。</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三</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负责招商引资信息、情报、资料的搜集、整理和项目的论证包装。</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四</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负责全县对外开放和招商引资的宣传工作。</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五</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负责全县招商项目的洽谈和参与跟踪服务工作。</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六</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依据国家有关法律、法规和政策，协调市以上部门办理外资企业的项目审批工作，并为外商提供咨询服务和项目代办业务。</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七</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负责全县招商引资项目的统计工作。</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八</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负责受理外资企业的投诉，并组织有关部门予以调查和协调处理。</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九</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负责全县“三资”企业的档案管理，协调配合做好“三资”企业的年检和换发证工作。</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十</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确定符合条件的招商引资企业名单，上报县政府批准为县重点保护企业并挂牌服务。核定外来投资者身份，报县政府为其颁发《客商证》。</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十一</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商贸规划、城镇新区商业建设试点、再生资源回收、食品安全管理。</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十二</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现代服务业、物流、乡村旅游、统计、审计、包村扶贫、民情家访、新增服务业重点企业、 拍卖、典当行业管理、二手车交易、批发、零售、餐饮住宿等商贸服务业发展的指导协调、流通领域的药品监管；负责纪检监察、信访稳定。</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十三</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重点项目建设、职教、财务、招商引资、机关的政治学习、防洪抗旱、应急工作、节能减排、“两创”工作、法制和国防教育、精神文明建设、创卫。</w:t>
      </w:r>
    </w:p>
    <w:p>
      <w:pPr>
        <w:widowControl w:val="0"/>
        <w:kinsoku/>
        <w:autoSpaceDE/>
        <w:autoSpaceDN/>
        <w:adjustRightInd/>
        <w:snapToGrid w:val="0"/>
        <w:spacing w:line="520" w:lineRule="exact"/>
        <w:ind w:firstLine="640" w:firstLineChars="200"/>
        <w:jc w:val="both"/>
        <w:textAlignment w:val="auto"/>
        <w:rPr>
          <w:rFonts w:hint="eastAsia" w:ascii="仿宋_GB2312" w:hAnsi="仿宋" w:eastAsia="仿宋_GB2312" w:cs="Times New Roman"/>
          <w:snapToGrid/>
          <w:kern w:val="2"/>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十四</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信访稳定、综合执法、经营业务、社会治安综合治理、安全生产、环保促进城乡。</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十五</w:t>
      </w:r>
      <w:r>
        <w:rPr>
          <w:rFonts w:hint="eastAsia" w:ascii="仿宋_GB2312" w:hAnsi="仿宋_GB2312" w:eastAsia="仿宋_GB2312"/>
          <w:color w:val="auto"/>
          <w:sz w:val="32"/>
          <w:szCs w:val="32"/>
        </w:rPr>
        <w:t>）</w:t>
      </w:r>
      <w:r>
        <w:rPr>
          <w:rFonts w:hint="eastAsia" w:ascii="仿宋_GB2312" w:hAnsi="仿宋" w:eastAsia="仿宋_GB2312" w:cs="Times New Roman"/>
          <w:snapToGrid/>
          <w:kern w:val="2"/>
          <w:sz w:val="32"/>
          <w:szCs w:val="32"/>
          <w:lang w:eastAsia="zh-CN"/>
        </w:rPr>
        <w:t>承办县委、县政府交办的其他工作。</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二、部门基本情况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纳入本套部门决算汇编范围的单位共</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个，包括：</w:t>
      </w:r>
      <w:r>
        <w:rPr>
          <w:rFonts w:hint="eastAsia" w:ascii="仿宋_GB2312" w:hAnsi="仿宋_GB2312" w:eastAsia="仿宋_GB2312"/>
          <w:color w:val="auto"/>
          <w:sz w:val="32"/>
          <w:szCs w:val="32"/>
          <w:lang w:val="en-US" w:eastAsia="zh-CN"/>
        </w:rPr>
        <w:t>进贤县商务局本级</w:t>
      </w:r>
      <w:r>
        <w:rPr>
          <w:rFonts w:hint="eastAsia" w:ascii="仿宋_GB2312" w:hAns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年年末实有人数</w:t>
      </w:r>
      <w:r>
        <w:rPr>
          <w:rFonts w:hint="eastAsia" w:ascii="仿宋_GB2312" w:hAnsi="仿宋_GB2312" w:eastAsia="仿宋_GB2312"/>
          <w:color w:val="auto"/>
          <w:sz w:val="32"/>
          <w:szCs w:val="32"/>
          <w:lang w:val="en-US" w:eastAsia="zh-CN"/>
        </w:rPr>
        <w:t>74</w:t>
      </w:r>
      <w:r>
        <w:rPr>
          <w:rFonts w:hint="eastAsia" w:ascii="仿宋_GB2312" w:hAnsi="仿宋_GB2312" w:eastAsia="仿宋_GB2312"/>
          <w:color w:val="auto"/>
          <w:sz w:val="32"/>
          <w:szCs w:val="32"/>
        </w:rPr>
        <w:t>人，其中在职人员</w:t>
      </w:r>
      <w:r>
        <w:rPr>
          <w:rFonts w:hint="eastAsia" w:ascii="仿宋_GB2312" w:hAnsi="仿宋_GB2312" w:eastAsia="仿宋_GB2312"/>
          <w:color w:val="auto"/>
          <w:sz w:val="32"/>
          <w:szCs w:val="32"/>
          <w:lang w:val="en-US" w:eastAsia="zh-CN"/>
        </w:rPr>
        <w:t>32</w:t>
      </w:r>
      <w:r>
        <w:rPr>
          <w:rFonts w:hint="eastAsia" w:ascii="仿宋_GB2312" w:hAnsi="仿宋_GB2312" w:eastAsia="仿宋_GB2312"/>
          <w:color w:val="auto"/>
          <w:sz w:val="32"/>
          <w:szCs w:val="32"/>
        </w:rPr>
        <w:t>人，离休人员</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人，退休人员</w:t>
      </w:r>
      <w:r>
        <w:rPr>
          <w:rFonts w:hint="eastAsia" w:ascii="仿宋_GB2312" w:hAnsi="仿宋_GB2312" w:eastAsia="仿宋_GB2312"/>
          <w:color w:val="auto"/>
          <w:sz w:val="32"/>
          <w:szCs w:val="32"/>
          <w:lang w:val="en-US" w:eastAsia="zh-CN"/>
        </w:rPr>
        <w:t>41</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；年末其他人员</w:t>
      </w:r>
      <w:r>
        <w:rPr>
          <w:rFonts w:hint="eastAsia" w:ascii="仿宋_GB2312" w:hAnsi="仿宋_GB2312" w:eastAsia="仿宋_GB2312"/>
          <w:color w:val="auto"/>
          <w:sz w:val="32"/>
          <w:szCs w:val="32"/>
          <w:lang w:val="en-US" w:eastAsia="zh-CN"/>
        </w:rPr>
        <w:t>6</w:t>
      </w:r>
      <w:r>
        <w:rPr>
          <w:rFonts w:hint="eastAsia" w:ascii="仿宋_GB2312" w:hAnsi="仿宋_GB2312" w:eastAsia="仿宋_GB2312"/>
          <w:color w:val="auto"/>
          <w:sz w:val="32"/>
          <w:szCs w:val="32"/>
        </w:rPr>
        <w:t>人；年末学生人数</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年度部门决算表</w:t>
      </w:r>
    </w:p>
    <w:p>
      <w:pPr>
        <w:autoSpaceDE w:val="0"/>
        <w:autoSpaceDN w:val="0"/>
        <w:adjustRightInd w:val="0"/>
        <w:spacing w:line="360" w:lineRule="auto"/>
        <w:jc w:val="left"/>
        <w:rPr>
          <w:rFonts w:hint="eastAsia"/>
          <w:color w:val="auto"/>
          <w:szCs w:val="30"/>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rPr>
      </w:pPr>
      <w:r>
        <w:rPr>
          <w:rFonts w:hint="eastAsia" w:ascii="仿宋" w:hAnsi="仿宋" w:eastAsia="仿宋"/>
          <w:kern w:val="0"/>
          <w:sz w:val="30"/>
          <w:szCs w:val="30"/>
          <w:lang w:eastAsia="zh-CN"/>
        </w:rPr>
        <w:t>见附件</w:t>
      </w:r>
      <w:r>
        <w:rPr>
          <w:rFonts w:hint="eastAsia" w:ascii="仿宋" w:hAnsi="仿宋" w:eastAsia="仿宋"/>
          <w:kern w:val="0"/>
          <w:sz w:val="30"/>
          <w:szCs w:val="30"/>
          <w:lang w:val="en-US" w:eastAsia="zh-CN"/>
        </w:rPr>
        <w:t>Excell表</w:t>
      </w:r>
      <w:r>
        <w:rPr>
          <w:rFonts w:hint="eastAsia" w:ascii="仿宋_GB2312" w:hAnsi="仿宋_GB2312" w:eastAsia="仿宋_GB2312"/>
          <w:color w:val="auto"/>
          <w:sz w:val="32"/>
          <w:szCs w:val="32"/>
        </w:rPr>
        <w:t>：进贤县商务局</w:t>
      </w:r>
      <w:r>
        <w:rPr>
          <w:rFonts w:hint="eastAsia" w:ascii="仿宋_GB2312" w:hAnsi="仿宋_GB2312" w:eastAsia="仿宋_GB2312"/>
          <w:color w:val="auto"/>
          <w:sz w:val="32"/>
          <w:szCs w:val="32"/>
          <w:lang w:val="en-US" w:eastAsia="zh-CN"/>
        </w:rPr>
        <w:t>2022年</w:t>
      </w:r>
      <w:r>
        <w:rPr>
          <w:rFonts w:hint="eastAsia" w:ascii="仿宋_GB2312" w:hAnsi="仿宋_GB2312" w:eastAsia="仿宋_GB2312"/>
          <w:color w:val="auto"/>
          <w:sz w:val="32"/>
          <w:szCs w:val="32"/>
        </w:rPr>
        <w:t>（部门）决算公开表格</w:t>
      </w:r>
      <w:r>
        <w:rPr>
          <w:rFonts w:hint="eastAsia" w:ascii="仿宋_GB2312" w:hAnsi="仿宋_GB2312" w:eastAsia="仿宋_GB2312"/>
          <w:color w:val="auto"/>
          <w:sz w:val="32"/>
          <w:szCs w:val="32"/>
        </w:rPr>
        <w:br w:type="page"/>
      </w:r>
    </w:p>
    <w:p>
      <w:pPr>
        <w:keepNext w:val="0"/>
        <w:keepLines w:val="0"/>
        <w:pageBreakBefore w:val="0"/>
        <w:widowControl/>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第三部分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年度部门决算情况说明</w:t>
      </w:r>
    </w:p>
    <w:p>
      <w:pPr>
        <w:keepNext w:val="0"/>
        <w:keepLines w:val="0"/>
        <w:pageBreakBefore w:val="0"/>
        <w:kinsoku/>
        <w:wordWrap/>
        <w:overflowPunct/>
        <w:topLinePunct w:val="0"/>
        <w:bidi w:val="0"/>
        <w:snapToGrid/>
        <w:spacing w:line="600" w:lineRule="exact"/>
        <w:ind w:firstLine="630"/>
        <w:jc w:val="both"/>
        <w:textAlignment w:val="auto"/>
        <w:rPr>
          <w:rFonts w:hint="eastAsia" w:ascii="仿宋_GB2312" w:hAnsi="仿宋_GB2312" w:eastAsia="仿宋_GB2312"/>
          <w:color w:val="auto"/>
          <w:sz w:val="30"/>
          <w:szCs w:val="30"/>
        </w:rPr>
      </w:pP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年度收入总计 </w:t>
      </w:r>
      <w:r>
        <w:rPr>
          <w:rFonts w:hint="eastAsia" w:ascii="仿宋_GB2312" w:hAnsi="仿宋_GB2312" w:eastAsia="仿宋_GB2312"/>
          <w:color w:val="auto"/>
          <w:sz w:val="32"/>
          <w:szCs w:val="32"/>
          <w:lang w:val="en-US" w:eastAsia="zh-CN"/>
        </w:rPr>
        <w:t>850.76</w:t>
      </w:r>
      <w:r>
        <w:rPr>
          <w:rFonts w:hint="eastAsia" w:ascii="仿宋_GB2312" w:hAnsi="仿宋_GB2312" w:eastAsia="仿宋_GB2312"/>
          <w:color w:val="auto"/>
          <w:sz w:val="32"/>
          <w:szCs w:val="32"/>
        </w:rPr>
        <w:t>万元，其中年初结转和结余</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943.52</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52.58</w:t>
      </w:r>
      <w:r>
        <w:rPr>
          <w:rFonts w:hint="eastAsia" w:ascii="仿宋_GB2312" w:hAnsi="仿宋_GB2312" w:eastAsia="仿宋_GB2312"/>
          <w:color w:val="auto"/>
          <w:sz w:val="32"/>
          <w:szCs w:val="32"/>
        </w:rPr>
        <w:t xml:space="preserve"> %；本年收入合计</w:t>
      </w:r>
      <w:r>
        <w:rPr>
          <w:rFonts w:hint="eastAsia" w:ascii="仿宋_GB2312" w:hAnsi="仿宋_GB2312" w:eastAsia="仿宋_GB2312"/>
          <w:color w:val="auto"/>
          <w:sz w:val="32"/>
          <w:szCs w:val="32"/>
          <w:lang w:val="en-US" w:eastAsia="zh-CN"/>
        </w:rPr>
        <w:t>850.76</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943.52</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52.58</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val="en-US" w:eastAsia="zh-CN"/>
        </w:rPr>
        <w:t>减省外贸发展资金项目支出。</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本年收入的具体构成为：财政拨款收入</w:t>
      </w:r>
      <w:r>
        <w:rPr>
          <w:rFonts w:hint="eastAsia" w:ascii="仿宋_GB2312" w:hAnsi="仿宋_GB2312" w:eastAsia="仿宋_GB2312"/>
          <w:color w:val="auto"/>
          <w:sz w:val="32"/>
          <w:szCs w:val="32"/>
          <w:lang w:val="en-US" w:eastAsia="zh-CN"/>
        </w:rPr>
        <w:t>850.76</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%；事业收入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%；经营收入</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%；其他收入</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年度支出总计</w:t>
      </w:r>
      <w:r>
        <w:rPr>
          <w:rFonts w:hint="eastAsia" w:ascii="仿宋_GB2312" w:hAnsi="仿宋_GB2312" w:eastAsia="仿宋_GB2312"/>
          <w:color w:val="auto"/>
          <w:sz w:val="32"/>
          <w:szCs w:val="32"/>
          <w:lang w:val="en-US" w:eastAsia="zh-CN"/>
        </w:rPr>
        <w:t>850.76</w:t>
      </w:r>
      <w:r>
        <w:rPr>
          <w:rFonts w:hint="eastAsia" w:ascii="仿宋_GB2312" w:hAnsi="仿宋_GB2312" w:eastAsia="仿宋_GB2312"/>
          <w:color w:val="auto"/>
          <w:sz w:val="32"/>
          <w:szCs w:val="32"/>
        </w:rPr>
        <w:t>万元，其中本年支出合计</w:t>
      </w:r>
      <w:r>
        <w:rPr>
          <w:rFonts w:hint="eastAsia" w:ascii="仿宋_GB2312" w:hAnsi="仿宋_GB2312" w:eastAsia="仿宋_GB2312"/>
          <w:color w:val="auto"/>
          <w:sz w:val="32"/>
          <w:szCs w:val="32"/>
          <w:lang w:val="en-US" w:eastAsia="zh-CN"/>
        </w:rPr>
        <w:t>850.76</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943.52</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52.58</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减省外贸发展资金项目支出</w:t>
      </w:r>
      <w:r>
        <w:rPr>
          <w:rFonts w:hint="eastAsia" w:ascii="仿宋_GB2312" w:hAnsi="仿宋_GB2312" w:eastAsia="仿宋_GB2312"/>
          <w:color w:val="auto"/>
          <w:sz w:val="32"/>
          <w:szCs w:val="32"/>
        </w:rPr>
        <w:t xml:space="preserve">；年末结转和结余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val="en-US" w:eastAsia="zh-CN"/>
        </w:rPr>
        <w:t>年未结余资金财政已收回</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本年支出的具体构成为：基本支出</w:t>
      </w:r>
      <w:r>
        <w:rPr>
          <w:rFonts w:hint="eastAsia" w:ascii="仿宋_GB2312" w:hAnsi="仿宋_GB2312" w:eastAsia="仿宋_GB2312"/>
          <w:color w:val="auto"/>
          <w:sz w:val="32"/>
          <w:szCs w:val="32"/>
          <w:lang w:val="en-US" w:eastAsia="zh-CN"/>
        </w:rPr>
        <w:t>518.05</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60.89</w:t>
      </w:r>
      <w:r>
        <w:rPr>
          <w:rFonts w:hint="eastAsia" w:ascii="仿宋_GB2312" w:hAnsi="仿宋_GB2312" w:eastAsia="仿宋_GB2312"/>
          <w:color w:val="auto"/>
          <w:sz w:val="32"/>
          <w:szCs w:val="32"/>
        </w:rPr>
        <w:t xml:space="preserve"> %；项目支出</w:t>
      </w:r>
      <w:r>
        <w:rPr>
          <w:rFonts w:hint="eastAsia" w:ascii="仿宋_GB2312" w:hAnsi="仿宋_GB2312" w:eastAsia="仿宋_GB2312"/>
          <w:color w:val="auto"/>
          <w:sz w:val="32"/>
          <w:szCs w:val="32"/>
          <w:lang w:val="en-US" w:eastAsia="zh-CN"/>
        </w:rPr>
        <w:t>332.71</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39.11</w:t>
      </w:r>
      <w:r>
        <w:rPr>
          <w:rFonts w:hint="eastAsia" w:ascii="仿宋_GB2312" w:hAnsi="仿宋_GB2312" w:eastAsia="仿宋_GB2312"/>
          <w:color w:val="auto"/>
          <w:sz w:val="32"/>
          <w:szCs w:val="32"/>
        </w:rPr>
        <w:t>%；经营支出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%；其他支出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（对附属单位补助支出、上缴上级支出）   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年度财政拨款本年支出年初预算数为</w:t>
      </w:r>
      <w:r>
        <w:rPr>
          <w:rFonts w:hint="eastAsia" w:ascii="仿宋_GB2312" w:hAnsi="仿宋_GB2312" w:eastAsia="仿宋_GB2312"/>
          <w:color w:val="auto"/>
          <w:sz w:val="32"/>
          <w:szCs w:val="32"/>
          <w:lang w:val="en-US" w:eastAsia="zh-CN"/>
        </w:rPr>
        <w:t>623.68</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850.76</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136.41</w:t>
      </w:r>
      <w:r>
        <w:rPr>
          <w:rFonts w:hint="eastAsia" w:ascii="仿宋_GB2312" w:hAnsi="仿宋_GB2312" w:eastAsia="仿宋_GB2312"/>
          <w:color w:val="auto"/>
          <w:sz w:val="32"/>
          <w:szCs w:val="32"/>
        </w:rPr>
        <w:t>。其中：</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（一）</w:t>
      </w:r>
      <w:r>
        <w:rPr>
          <w:rFonts w:hint="eastAsia" w:ascii="仿宋_GB2312" w:hAnsi="仿宋_GB2312" w:eastAsia="仿宋_GB2312" w:cs="仿宋_GB2312"/>
          <w:color w:val="auto"/>
          <w:kern w:val="0"/>
          <w:sz w:val="32"/>
          <w:szCs w:val="32"/>
        </w:rPr>
        <w:t>一般公共服务</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531.41</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586</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110.27</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追加职业年金招考进入3名工公务员等</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rPr>
        <w:t>社会保障和就业</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33.63</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32.58</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96.88</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严格按预算执行</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rPr>
        <w:t>卫生健康</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33.41</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19.44</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58.19</w:t>
      </w:r>
      <w:r>
        <w:rPr>
          <w:rFonts w:hint="eastAsia" w:ascii="仿宋_GB2312" w:hAnsi="仿宋_GB2312" w:eastAsia="仿宋_GB2312"/>
          <w:color w:val="auto"/>
          <w:sz w:val="32"/>
          <w:szCs w:val="32"/>
        </w:rPr>
        <w:t>%，主要原因是：</w:t>
      </w:r>
      <w:r>
        <w:rPr>
          <w:rFonts w:hint="eastAsia" w:ascii="仿宋" w:hAnsi="仿宋" w:eastAsia="仿宋"/>
          <w:sz w:val="30"/>
          <w:szCs w:val="30"/>
          <w:lang w:val="en-US" w:eastAsia="zh-CN"/>
        </w:rPr>
        <w:t>用其他收入缴存部份医保</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rPr>
        <w:t>住房保障</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25.23</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25.23</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严格按预算执行</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olor w:val="auto"/>
          <w:sz w:val="32"/>
          <w:szCs w:val="32"/>
        </w:rPr>
        <w:t>商业服务业等</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187.52</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追加对企业的补贴外贸发展资金、618促消费费用、农贸市场改造补贴等补贴</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年度一般公共预算财政拨款基本支出</w:t>
      </w:r>
      <w:r>
        <w:rPr>
          <w:rFonts w:hint="eastAsia" w:ascii="仿宋_GB2312" w:hAnsi="仿宋_GB2312" w:eastAsia="仿宋_GB2312"/>
          <w:color w:val="auto"/>
          <w:sz w:val="32"/>
          <w:szCs w:val="32"/>
          <w:lang w:val="en-US" w:eastAsia="zh-CN"/>
        </w:rPr>
        <w:t>518.05</w:t>
      </w:r>
      <w:r>
        <w:rPr>
          <w:rFonts w:hint="eastAsia" w:ascii="仿宋_GB2312" w:hAnsi="仿宋_GB2312" w:eastAsia="仿宋_GB2312"/>
          <w:color w:val="auto"/>
          <w:sz w:val="32"/>
          <w:szCs w:val="32"/>
        </w:rPr>
        <w:t>万元，其中：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（一）工资福利支出</w:t>
      </w:r>
      <w:r>
        <w:rPr>
          <w:rFonts w:hint="eastAsia" w:ascii="仿宋_GB2312" w:hAnsi="仿宋_GB2312" w:eastAsia="仿宋_GB2312"/>
          <w:color w:val="auto"/>
          <w:sz w:val="32"/>
          <w:szCs w:val="32"/>
          <w:lang w:val="en-US" w:eastAsia="zh-CN"/>
        </w:rPr>
        <w:t>395.02</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187.45</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32.18</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val="en-US" w:eastAsia="zh-CN"/>
        </w:rPr>
        <w:t>减小政府性奖金支出及退休人员奖金放在</w:t>
      </w:r>
      <w:r>
        <w:rPr>
          <w:rFonts w:hint="eastAsia" w:ascii="仿宋_GB2312" w:hAnsi="仿宋_GB2312" w:eastAsia="仿宋_GB2312"/>
          <w:color w:val="auto"/>
          <w:sz w:val="32"/>
          <w:szCs w:val="32"/>
        </w:rPr>
        <w:t>对个人和家庭补助支出。</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（二）商品和服务支出</w:t>
      </w:r>
      <w:r>
        <w:rPr>
          <w:rFonts w:hint="eastAsia" w:ascii="仿宋_GB2312" w:hAnsi="仿宋_GB2312" w:eastAsia="仿宋_GB2312"/>
          <w:color w:val="auto"/>
          <w:sz w:val="32"/>
          <w:szCs w:val="32"/>
          <w:lang w:val="en-US" w:eastAsia="zh-CN"/>
        </w:rPr>
        <w:t>46.54</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0.63</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1.35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新增3名公务员，购买办公设备</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（三）对个人和家庭补助支出</w:t>
      </w:r>
      <w:r>
        <w:rPr>
          <w:rFonts w:hint="eastAsia" w:ascii="仿宋_GB2312" w:hAnsi="仿宋_GB2312" w:eastAsia="仿宋_GB2312"/>
          <w:color w:val="auto"/>
          <w:sz w:val="32"/>
          <w:szCs w:val="32"/>
          <w:lang w:val="en-US" w:eastAsia="zh-CN"/>
        </w:rPr>
        <w:t>76.49</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76.49</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val="en-US" w:eastAsia="zh-CN"/>
        </w:rPr>
        <w:t>退休人员奖金放在工资福利中支出</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（四）资本性支出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val="en-US" w:eastAsia="zh-CN"/>
        </w:rPr>
        <w:t>本年度无此项支出</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38</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38</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0.35</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0.92</w:t>
      </w:r>
      <w:r>
        <w:rPr>
          <w:rFonts w:hint="eastAsia" w:ascii="仿宋_GB2312" w:hAnsi="仿宋_GB2312" w:eastAsia="仿宋_GB2312"/>
          <w:color w:val="auto"/>
          <w:sz w:val="32"/>
          <w:szCs w:val="32"/>
        </w:rPr>
        <w:t xml:space="preserve"> %，其中：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主要原因是本年度无此项支出</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s="Times New Roman"/>
          <w:color w:val="auto"/>
          <w:sz w:val="32"/>
          <w:szCs w:val="32"/>
          <w:lang w:val="en-US" w:eastAsia="zh-CN"/>
        </w:rPr>
        <w:t>本年度无此项支出</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全年安排因公出国（境）团组0个，累计0人次，主要为：</w:t>
      </w:r>
      <w:r>
        <w:rPr>
          <w:rFonts w:hint="eastAsia" w:ascii="仿宋_GB2312" w:hAnsi="仿宋_GB2312" w:eastAsia="仿宋_GB2312" w:cs="Times New Roman"/>
          <w:color w:val="auto"/>
          <w:sz w:val="32"/>
          <w:szCs w:val="32"/>
          <w:lang w:val="en-US" w:eastAsia="zh-CN"/>
        </w:rPr>
        <w:t>本年度无此项支出</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38</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38</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0.35</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0.92</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w:t>
      </w:r>
      <w:r>
        <w:rPr>
          <w:rFonts w:hint="eastAsia" w:ascii="仿宋" w:hAnsi="仿宋" w:eastAsia="仿宋"/>
          <w:sz w:val="30"/>
          <w:szCs w:val="30"/>
          <w:lang w:val="en-US" w:eastAsia="zh-CN"/>
        </w:rPr>
        <w:t>认真执行中央八项规定，厉行节约</w:t>
      </w:r>
      <w:r>
        <w:rPr>
          <w:rFonts w:hint="eastAsia" w:ascii="仿宋_GB2312" w:hAnsi="仿宋_GB2312" w:eastAsia="仿宋_GB2312" w:cs="Times New Roman"/>
          <w:color w:val="auto"/>
          <w:sz w:val="32"/>
          <w:szCs w:val="32"/>
          <w:lang w:val="en-US" w:eastAsia="zh-CN"/>
        </w:rPr>
        <w:t>.</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减少的主要原因是：</w:t>
      </w:r>
      <w:r>
        <w:rPr>
          <w:rFonts w:hint="eastAsia" w:ascii="仿宋" w:hAnsi="仿宋" w:eastAsia="仿宋"/>
          <w:sz w:val="30"/>
          <w:szCs w:val="30"/>
          <w:lang w:val="en-US" w:eastAsia="zh-CN"/>
        </w:rPr>
        <w:t>认真执行中央八项规定，厉行节约</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全年国内公务接待243批，累计接待2924人次，其中外事接待0 批，累计接待0人次，主要为：</w:t>
      </w:r>
      <w:r>
        <w:rPr>
          <w:rFonts w:hint="eastAsia" w:ascii="仿宋" w:hAnsi="仿宋" w:eastAsia="仿宋"/>
          <w:sz w:val="30"/>
          <w:szCs w:val="30"/>
          <w:lang w:val="en-US" w:eastAsia="zh-CN"/>
        </w:rPr>
        <w:t>认真执行中央八项规定，厉行节约</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（三）公务用车购置及运行维护费支出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w:t>
      </w:r>
      <w:bookmarkStart w:id="0" w:name="_GoBack"/>
      <w:bookmarkEnd w:id="0"/>
      <w:r>
        <w:rPr>
          <w:rFonts w:hint="eastAsia" w:ascii="仿宋_GB2312" w:hAnsi="仿宋_GB2312" w:eastAsia="仿宋_GB2312"/>
          <w:color w:val="auto"/>
          <w:sz w:val="32"/>
          <w:szCs w:val="32"/>
        </w:rPr>
        <w:t>，其中公务用车购置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主要原因是本年度无此项支出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全年购置公务用车0辆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s="Times New Roman"/>
          <w:color w:val="auto"/>
          <w:sz w:val="32"/>
          <w:szCs w:val="32"/>
          <w:lang w:val="en-US" w:eastAsia="zh-CN"/>
        </w:rPr>
        <w:t>本年度无此项支出</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主要原因是本年度无此项支出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年末公务用车保有0辆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s="Times New Roman"/>
          <w:color w:val="auto"/>
          <w:sz w:val="32"/>
          <w:szCs w:val="32"/>
          <w:lang w:val="en-US" w:eastAsia="zh-CN"/>
        </w:rPr>
        <w:t>本年度无此项支出</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年度机关运行经费支出</w:t>
      </w:r>
      <w:r>
        <w:rPr>
          <w:rFonts w:hint="eastAsia" w:ascii="仿宋_GB2312" w:hAnsi="仿宋_GB2312" w:eastAsia="仿宋_GB2312"/>
          <w:color w:val="auto"/>
          <w:sz w:val="32"/>
          <w:szCs w:val="32"/>
          <w:lang w:val="en-US" w:eastAsia="zh-CN"/>
        </w:rPr>
        <w:t>46.54</w:t>
      </w:r>
      <w:r>
        <w:rPr>
          <w:rFonts w:hint="eastAsia" w:ascii="仿宋_GB2312" w:hAnsi="仿宋_GB2312" w:eastAsia="仿宋_GB2312"/>
          <w:color w:val="auto"/>
          <w:sz w:val="32"/>
          <w:szCs w:val="32"/>
        </w:rPr>
        <w:t>万元（与部门决算中行政单位和参照公务员法管理事业单位财政拨款基本支出中公用经费之和一致），较</w:t>
      </w:r>
      <w:r>
        <w:rPr>
          <w:rFonts w:hint="eastAsia" w:ascii="仿宋_GB2312" w:hAnsi="仿宋_GB2312" w:eastAsia="仿宋_GB2312"/>
          <w:b/>
          <w:bCs/>
          <w:color w:val="FF0000"/>
          <w:sz w:val="32"/>
          <w:szCs w:val="32"/>
          <w:lang w:val="en-US" w:eastAsia="zh-CN"/>
        </w:rPr>
        <w:t>上年决算数</w:t>
      </w:r>
      <w:r>
        <w:rPr>
          <w:rFonts w:hint="eastAsia" w:ascii="仿宋_GB2312" w:hAnsi="仿宋_GB2312" w:eastAsia="仿宋_GB2312"/>
          <w:color w:val="auto"/>
          <w:sz w:val="32"/>
          <w:szCs w:val="32"/>
        </w:rPr>
        <w:t>增加</w:t>
      </w:r>
      <w:r>
        <w:rPr>
          <w:rFonts w:hint="eastAsia" w:ascii="仿宋_GB2312" w:hAnsi="仿宋_GB2312" w:eastAsia="仿宋_GB2312"/>
          <w:color w:val="auto"/>
          <w:sz w:val="32"/>
          <w:szCs w:val="32"/>
          <w:lang w:val="en-US" w:eastAsia="zh-CN"/>
        </w:rPr>
        <w:t>0.64</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val="en-US" w:eastAsia="zh-CN"/>
        </w:rPr>
        <w:t>1.35</w:t>
      </w:r>
      <w:r>
        <w:rPr>
          <w:rFonts w:hint="eastAsia" w:ascii="仿宋_GB2312" w:hAnsi="仿宋_GB2312" w:eastAsia="仿宋_GB2312"/>
          <w:color w:val="auto"/>
          <w:sz w:val="32"/>
          <w:szCs w:val="32"/>
        </w:rPr>
        <w:t xml:space="preserve"> %，主要原因是：办公设施设备购置经费增加人员编制数量增加</w:t>
      </w:r>
      <w:r>
        <w:rPr>
          <w:rFonts w:hint="eastAsia" w:ascii="仿宋_GB2312" w:hAnsi="仿宋_GB2312" w:eastAsia="仿宋_GB2312"/>
          <w:color w:val="auto"/>
          <w:sz w:val="32"/>
          <w:szCs w:val="32"/>
          <w:lang w:val="en-US" w:eastAsia="zh-CN"/>
        </w:rPr>
        <w:t>3人</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3" w:firstLineChars="200"/>
        <w:jc w:val="both"/>
        <w:textAlignment w:val="auto"/>
        <w:rPr>
          <w:rFonts w:hint="eastAsia" w:ascii="仿宋_GB2312" w:hAnsi="仿宋_GB2312" w:eastAsia="仿宋_GB2312"/>
          <w:b w:val="0"/>
          <w:bCs w:val="0"/>
          <w:color w:val="auto"/>
          <w:sz w:val="32"/>
          <w:szCs w:val="32"/>
          <w:lang w:eastAsia="zh-CN"/>
        </w:rPr>
      </w:pPr>
      <w:r>
        <w:rPr>
          <w:rFonts w:hint="eastAsia" w:ascii="仿宋_GB2312" w:hAnsi="仿宋_GB2312" w:eastAsia="仿宋_GB2312"/>
          <w:b/>
          <w:bCs/>
          <w:color w:val="auto"/>
          <w:sz w:val="32"/>
          <w:szCs w:val="32"/>
          <w:lang w:val="en-US" w:eastAsia="zh-CN"/>
        </w:rPr>
        <w:t>（若本部门不是</w:t>
      </w:r>
      <w:r>
        <w:rPr>
          <w:rFonts w:hint="eastAsia" w:ascii="仿宋_GB2312" w:hAnsi="仿宋_GB2312" w:eastAsia="仿宋_GB2312"/>
          <w:b/>
          <w:bCs/>
          <w:color w:val="auto"/>
          <w:sz w:val="32"/>
          <w:szCs w:val="32"/>
        </w:rPr>
        <w:t>行政单位</w:t>
      </w:r>
      <w:r>
        <w:rPr>
          <w:rFonts w:hint="eastAsia" w:ascii="仿宋_GB2312" w:hAnsi="仿宋_GB2312" w:eastAsia="仿宋_GB2312"/>
          <w:b/>
          <w:bCs/>
          <w:color w:val="auto"/>
          <w:sz w:val="32"/>
          <w:szCs w:val="32"/>
          <w:lang w:val="en-US" w:eastAsia="zh-CN"/>
        </w:rPr>
        <w:t>或</w:t>
      </w:r>
      <w:r>
        <w:rPr>
          <w:rFonts w:hint="eastAsia" w:ascii="仿宋_GB2312" w:hAnsi="仿宋_GB2312" w:eastAsia="仿宋_GB2312"/>
          <w:b/>
          <w:bCs/>
          <w:color w:val="auto"/>
          <w:sz w:val="32"/>
          <w:szCs w:val="32"/>
        </w:rPr>
        <w:t>参照公务员法管理事业单位</w:t>
      </w:r>
      <w:r>
        <w:rPr>
          <w:rFonts w:hint="eastAsia" w:ascii="仿宋_GB2312" w:hAnsi="仿宋_GB2312" w:eastAsia="仿宋_GB2312"/>
          <w:b/>
          <w:bCs/>
          <w:color w:val="auto"/>
          <w:sz w:val="32"/>
          <w:szCs w:val="32"/>
          <w:lang w:eastAsia="zh-CN"/>
        </w:rPr>
        <w:t>，</w:t>
      </w:r>
      <w:r>
        <w:rPr>
          <w:rFonts w:hint="eastAsia" w:ascii="仿宋_GB2312" w:hAnsi="仿宋_GB2312" w:eastAsia="仿宋_GB2312"/>
          <w:b/>
          <w:bCs/>
          <w:color w:val="auto"/>
          <w:sz w:val="32"/>
          <w:szCs w:val="32"/>
          <w:lang w:val="en-US" w:eastAsia="zh-CN"/>
        </w:rPr>
        <w:t>则按以下格式说明：“本部门不是</w:t>
      </w:r>
      <w:r>
        <w:rPr>
          <w:rFonts w:hint="eastAsia" w:ascii="仿宋_GB2312" w:hAnsi="仿宋_GB2312" w:eastAsia="仿宋_GB2312"/>
          <w:b/>
          <w:bCs/>
          <w:color w:val="auto"/>
          <w:sz w:val="32"/>
          <w:szCs w:val="32"/>
        </w:rPr>
        <w:t>行政单位</w:t>
      </w:r>
      <w:r>
        <w:rPr>
          <w:rFonts w:hint="eastAsia" w:ascii="仿宋_GB2312" w:hAnsi="仿宋_GB2312" w:eastAsia="仿宋_GB2312"/>
          <w:b/>
          <w:bCs/>
          <w:color w:val="auto"/>
          <w:sz w:val="32"/>
          <w:szCs w:val="32"/>
          <w:lang w:val="en-US" w:eastAsia="zh-CN"/>
        </w:rPr>
        <w:t>或</w:t>
      </w:r>
      <w:r>
        <w:rPr>
          <w:rFonts w:hint="eastAsia" w:ascii="仿宋_GB2312" w:hAnsi="仿宋_GB2312" w:eastAsia="仿宋_GB2312"/>
          <w:b/>
          <w:bCs/>
          <w:color w:val="auto"/>
          <w:sz w:val="32"/>
          <w:szCs w:val="32"/>
        </w:rPr>
        <w:t>参照公务员法管理事业单位</w:t>
      </w:r>
      <w:r>
        <w:rPr>
          <w:rFonts w:hint="eastAsia" w:ascii="仿宋_GB2312" w:hAnsi="仿宋_GB2312" w:eastAsia="仿宋_GB2312"/>
          <w:b/>
          <w:bCs/>
          <w:color w:val="auto"/>
          <w:sz w:val="32"/>
          <w:szCs w:val="32"/>
          <w:lang w:eastAsia="zh-CN"/>
        </w:rPr>
        <w:t>，</w:t>
      </w:r>
      <w:r>
        <w:rPr>
          <w:rFonts w:hint="eastAsia" w:ascii="仿宋_GB2312" w:hAnsi="仿宋_GB2312" w:eastAsia="仿宋_GB2312"/>
          <w:b/>
          <w:bCs/>
          <w:color w:val="auto"/>
          <w:sz w:val="32"/>
          <w:szCs w:val="32"/>
          <w:lang w:val="en-US" w:eastAsia="zh-CN"/>
        </w:rPr>
        <w:t>故无机关运行经费支出”）</w:t>
      </w:r>
      <w:r>
        <w:rPr>
          <w:rFonts w:hint="eastAsia" w:ascii="仿宋_GB2312" w:hAnsi="仿宋_GB2312" w:eastAsia="仿宋_GB2312"/>
          <w:b/>
          <w:bCs/>
          <w:color w:val="auto"/>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4"/>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年度政府采购支出总额</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万元，其中：政府采购货物支出</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万元、政府采购工程支出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万元、政府采购服务支出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万元。授予中小企业合同金额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万元，占政府采购支出总额的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%，其中：授予小微企业合同金额</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万元，占</w:t>
      </w:r>
      <w:r>
        <w:rPr>
          <w:rFonts w:hint="eastAsia" w:ascii="仿宋_GB2312" w:hAnsi="仿宋_GB2312" w:eastAsia="仿宋_GB2312"/>
          <w:b/>
          <w:bCs/>
          <w:color w:val="FF0000"/>
          <w:sz w:val="32"/>
          <w:szCs w:val="32"/>
        </w:rPr>
        <w:t>授予中小企业合同金额</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；货物采购授予中小企业合同金额占货物支出金额的 0 %，工程采购授予中小企业合同金额占工程支出金额的0%，服务采购授予中小企业合同金额占服务支出金额的0 %。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八、国有资产占用情况说明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截止202</w:t>
      </w:r>
      <w:r>
        <w:rPr>
          <w:rFonts w:hint="eastAsia" w:ascii="仿宋_GB2312" w:hAnsi="仿宋_GB2312" w:eastAsia="仿宋_GB2312"/>
          <w:color w:val="auto"/>
          <w:kern w:val="0"/>
          <w:sz w:val="32"/>
          <w:szCs w:val="32"/>
          <w:lang w:val="en-US" w:eastAsia="zh-CN"/>
        </w:rPr>
        <w:t>2</w:t>
      </w:r>
      <w:r>
        <w:rPr>
          <w:rFonts w:hint="eastAsia" w:ascii="仿宋_GB2312" w:hAnsi="仿宋_GB2312" w:eastAsia="仿宋_GB2312"/>
          <w:color w:val="auto"/>
          <w:kern w:val="0"/>
          <w:sz w:val="32"/>
          <w:szCs w:val="32"/>
        </w:rPr>
        <w:t>年12月31日，本部门国有资产占用情况见</w:t>
      </w:r>
      <w:r>
        <w:rPr>
          <w:rFonts w:hint="eastAsia" w:ascii="仿宋_GB2312" w:hAnsi="仿宋_GB2312" w:eastAsia="仿宋_GB2312"/>
          <w:color w:val="auto"/>
          <w:kern w:val="0"/>
          <w:sz w:val="32"/>
          <w:szCs w:val="32"/>
          <w:lang w:val="en-US" w:eastAsia="zh-CN"/>
        </w:rPr>
        <w:t>公开10</w:t>
      </w:r>
      <w:r>
        <w:rPr>
          <w:rFonts w:hint="eastAsia" w:ascii="仿宋_GB2312" w:hAnsi="仿宋_GB2312" w:eastAsia="仿宋_GB2312"/>
          <w:color w:val="auto"/>
          <w:kern w:val="0"/>
          <w:sz w:val="32"/>
          <w:szCs w:val="32"/>
        </w:rPr>
        <w:t>表《国有资产占用情况表》。其中车辆中的其他用车主要是</w:t>
      </w:r>
      <w:r>
        <w:rPr>
          <w:rFonts w:hint="eastAsia" w:ascii="仿宋_GB2312" w:hAnsi="仿宋_GB2312" w:eastAsia="仿宋_GB2312"/>
          <w:color w:val="auto"/>
          <w:kern w:val="0"/>
          <w:sz w:val="32"/>
          <w:szCs w:val="32"/>
          <w:lang w:val="en-US" w:eastAsia="zh-CN"/>
        </w:rPr>
        <w:t>无</w:t>
      </w:r>
      <w:r>
        <w:rPr>
          <w:rFonts w:hint="eastAsia" w:ascii="仿宋_GB2312" w:hAnsi="仿宋_GB2312" w:eastAsia="仿宋_GB2312"/>
          <w:color w:val="auto"/>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val="en-US" w:eastAsia="zh-CN"/>
        </w:rPr>
        <w:t>评价</w:t>
      </w:r>
      <w:r>
        <w:rPr>
          <w:rFonts w:hint="eastAsia" w:ascii="黑体" w:hAnsi="黑体" w:eastAsia="黑体"/>
          <w:color w:val="auto"/>
          <w:sz w:val="32"/>
          <w:szCs w:val="32"/>
        </w:rPr>
        <w:t>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（一）绩效</w:t>
      </w:r>
      <w:r>
        <w:rPr>
          <w:rFonts w:hint="eastAsia" w:ascii="楷体_GB2312" w:hAnsi="楷体_GB2312" w:eastAsia="楷体_GB2312" w:cs="楷体_GB2312"/>
          <w:b/>
          <w:bCs/>
          <w:color w:val="FF0000"/>
          <w:kern w:val="0"/>
          <w:sz w:val="32"/>
          <w:szCs w:val="32"/>
          <w:lang w:val="en-US" w:eastAsia="zh-CN"/>
        </w:rPr>
        <w:t>评价</w:t>
      </w:r>
      <w:r>
        <w:rPr>
          <w:rFonts w:hint="eastAsia" w:ascii="楷体_GB2312" w:hAnsi="楷体_GB2312" w:eastAsia="楷体_GB2312" w:cs="楷体_GB2312"/>
          <w:color w:val="auto"/>
          <w:kern w:val="0"/>
          <w:sz w:val="32"/>
          <w:szCs w:val="32"/>
        </w:rPr>
        <w:t>工作开展情况。</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根据预算绩效管理要求，我部门组织对</w:t>
      </w:r>
      <w:r>
        <w:rPr>
          <w:rFonts w:hint="eastAsia" w:ascii="仿宋_GB2312" w:hAnsi="仿宋_GB2312" w:eastAsia="仿宋_GB2312" w:cs="Times New Roman"/>
          <w:color w:val="auto"/>
          <w:kern w:val="0"/>
          <w:sz w:val="32"/>
          <w:szCs w:val="32"/>
          <w:lang w:val="en-US" w:eastAsia="zh-CN"/>
        </w:rPr>
        <w:t>纳入</w:t>
      </w:r>
      <w:r>
        <w:rPr>
          <w:rFonts w:hint="eastAsia" w:ascii="仿宋_GB2312" w:hAnsi="仿宋_GB2312" w:eastAsia="仿宋_GB2312" w:cs="Times New Roman"/>
          <w:color w:val="auto"/>
          <w:kern w:val="0"/>
          <w:sz w:val="32"/>
          <w:szCs w:val="32"/>
        </w:rPr>
        <w:t>202</w:t>
      </w:r>
      <w:r>
        <w:rPr>
          <w:rFonts w:hint="eastAsia" w:ascii="仿宋_GB2312" w:hAnsi="仿宋_GB2312" w:eastAsia="仿宋_GB2312" w:cs="Times New Roman"/>
          <w:color w:val="auto"/>
          <w:kern w:val="0"/>
          <w:sz w:val="32"/>
          <w:szCs w:val="32"/>
          <w:lang w:val="en-US" w:eastAsia="zh-CN"/>
        </w:rPr>
        <w:t>2</w:t>
      </w:r>
      <w:r>
        <w:rPr>
          <w:rFonts w:hint="eastAsia" w:ascii="仿宋_GB2312" w:hAnsi="仿宋_GB2312" w:eastAsia="仿宋_GB2312" w:cs="Times New Roman"/>
          <w:color w:val="auto"/>
          <w:kern w:val="0"/>
          <w:sz w:val="32"/>
          <w:szCs w:val="32"/>
        </w:rPr>
        <w:t>年度</w:t>
      </w:r>
      <w:r>
        <w:rPr>
          <w:rFonts w:hint="eastAsia" w:ascii="仿宋_GB2312" w:hAnsi="仿宋_GB2312" w:eastAsia="仿宋_GB2312" w:cs="Times New Roman"/>
          <w:color w:val="auto"/>
          <w:kern w:val="0"/>
          <w:sz w:val="32"/>
          <w:szCs w:val="32"/>
          <w:lang w:val="en-US" w:eastAsia="zh-CN"/>
        </w:rPr>
        <w:t>部门预算范围的二级项目3个</w:t>
      </w:r>
      <w:r>
        <w:rPr>
          <w:rFonts w:hint="eastAsia" w:ascii="仿宋_GB2312" w:hAnsi="仿宋_GB2312" w:eastAsia="仿宋_GB2312" w:cs="Times New Roman"/>
          <w:color w:val="auto"/>
          <w:kern w:val="0"/>
          <w:sz w:val="32"/>
          <w:szCs w:val="32"/>
        </w:rPr>
        <w:t xml:space="preserve">全面开展绩效自评，共涉及资金  </w:t>
      </w:r>
      <w:r>
        <w:rPr>
          <w:rFonts w:hint="eastAsia" w:ascii="仿宋_GB2312" w:hAnsi="仿宋_GB2312" w:eastAsia="仿宋_GB2312" w:cs="Times New Roman"/>
          <w:color w:val="auto"/>
          <w:kern w:val="0"/>
          <w:sz w:val="32"/>
          <w:szCs w:val="32"/>
          <w:lang w:val="en-US" w:eastAsia="zh-CN"/>
        </w:rPr>
        <w:t>315.51</w:t>
      </w:r>
      <w:r>
        <w:rPr>
          <w:rFonts w:hint="eastAsia" w:ascii="仿宋_GB2312" w:hAnsi="仿宋_GB2312" w:eastAsia="仿宋_GB2312" w:cs="Times New Roman"/>
          <w:color w:val="auto"/>
          <w:kern w:val="0"/>
          <w:sz w:val="32"/>
          <w:szCs w:val="32"/>
        </w:rPr>
        <w:t>万元，占项目支出总额的</w:t>
      </w:r>
      <w:r>
        <w:rPr>
          <w:rFonts w:hint="eastAsia" w:ascii="仿宋_GB2312" w:hAnsi="仿宋_GB2312" w:eastAsia="仿宋_GB2312" w:cs="Times New Roman"/>
          <w:color w:val="auto"/>
          <w:kern w:val="0"/>
          <w:sz w:val="32"/>
          <w:szCs w:val="32"/>
          <w:lang w:val="en-US" w:eastAsia="zh-CN"/>
        </w:rPr>
        <w:t>94.83</w:t>
      </w:r>
      <w:r>
        <w:rPr>
          <w:rFonts w:hint="eastAsia" w:ascii="仿宋_GB2312" w:hAnsi="仿宋_GB2312" w:eastAsia="仿宋_GB2312" w:cs="Times New Roman"/>
          <w:color w:val="auto"/>
          <w:kern w:val="0"/>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组织对“中央外经贸发展专项资金（外贸稳中提质事项）”、“南昌市外经贸发展扶持资金”</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w:t>
      </w:r>
      <w:r>
        <w:rPr>
          <w:rFonts w:hint="eastAsia" w:ascii="宋体" w:hAnsi="宋体"/>
          <w:sz w:val="28"/>
          <w:szCs w:val="28"/>
          <w:u w:val="none"/>
          <w:lang w:val="en-US" w:eastAsia="zh-CN"/>
        </w:rPr>
        <w:t>2021年度新增限上贸易企业奖励资金</w:t>
      </w:r>
      <w:r>
        <w:rPr>
          <w:rFonts w:hint="eastAsia" w:ascii="仿宋_GB2312" w:hAnsi="仿宋_GB2312" w:eastAsia="仿宋_GB2312" w:cs="Times New Roman"/>
          <w:color w:val="auto"/>
          <w:kern w:val="0"/>
          <w:sz w:val="32"/>
          <w:szCs w:val="32"/>
        </w:rPr>
        <w:t xml:space="preserve">”等 </w:t>
      </w:r>
      <w:r>
        <w:rPr>
          <w:rFonts w:hint="eastAsia" w:ascii="仿宋_GB2312" w:hAnsi="仿宋_GB2312" w:eastAsia="仿宋_GB2312" w:cs="Times New Roman"/>
          <w:color w:val="auto"/>
          <w:kern w:val="0"/>
          <w:sz w:val="32"/>
          <w:szCs w:val="32"/>
          <w:lang w:val="en-US" w:eastAsia="zh-CN"/>
        </w:rPr>
        <w:t>3</w:t>
      </w:r>
      <w:r>
        <w:rPr>
          <w:rFonts w:hint="eastAsia" w:ascii="仿宋_GB2312" w:hAnsi="仿宋_GB2312" w:eastAsia="仿宋_GB2312" w:cs="Times New Roman"/>
          <w:color w:val="auto"/>
          <w:kern w:val="0"/>
          <w:sz w:val="32"/>
          <w:szCs w:val="32"/>
        </w:rPr>
        <w:t>个项目开展了部门评价，涉及一般公共预算支出</w:t>
      </w:r>
      <w:r>
        <w:rPr>
          <w:rFonts w:hint="eastAsia" w:ascii="仿宋_GB2312" w:hAnsi="仿宋_GB2312" w:eastAsia="仿宋_GB2312" w:cs="Times New Roman"/>
          <w:color w:val="auto"/>
          <w:kern w:val="0"/>
          <w:sz w:val="32"/>
          <w:szCs w:val="32"/>
          <w:lang w:val="en-US" w:eastAsia="zh-CN"/>
        </w:rPr>
        <w:t>315.51</w:t>
      </w:r>
      <w:r>
        <w:rPr>
          <w:rFonts w:hint="eastAsia" w:ascii="仿宋_GB2312" w:hAnsi="仿宋_GB2312" w:eastAsia="仿宋_GB2312" w:cs="Times New Roman"/>
          <w:color w:val="auto"/>
          <w:kern w:val="0"/>
          <w:sz w:val="32"/>
          <w:szCs w:val="32"/>
        </w:rPr>
        <w:t>万元</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政府性基金预算支出0万元，国有资本预算支出 0万元</w:t>
      </w:r>
      <w:r>
        <w:rPr>
          <w:rFonts w:hint="eastAsia" w:ascii="仿宋_GB2312" w:hAnsi="仿宋_GB2312" w:eastAsia="仿宋_GB2312" w:cs="Times New Roman"/>
          <w:color w:val="auto"/>
          <w:kern w:val="0"/>
          <w:sz w:val="32"/>
          <w:szCs w:val="32"/>
        </w:rPr>
        <w:t>。从评价情况来看，</w:t>
      </w:r>
      <w:r>
        <w:rPr>
          <w:rFonts w:hint="eastAsia" w:ascii="仿宋_GB2312" w:hAnsi="仿宋_GB2312" w:eastAsia="仿宋_GB2312" w:cs="Times New Roman"/>
          <w:color w:val="auto"/>
          <w:kern w:val="0"/>
          <w:sz w:val="32"/>
          <w:szCs w:val="32"/>
          <w:lang w:val="en-US" w:eastAsia="zh-CN"/>
        </w:rPr>
        <w:t>整体评价良好</w:t>
      </w:r>
      <w:r>
        <w:rPr>
          <w:rFonts w:hint="eastAsia" w:ascii="仿宋_GB2312" w:hAnsi="仿宋_GB2312" w:eastAsia="仿宋_GB2312" w:cs="Times New Roman"/>
          <w:color w:val="auto"/>
          <w:kern w:val="0"/>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组织开展</w:t>
      </w:r>
      <w:r>
        <w:rPr>
          <w:rFonts w:hint="eastAsia" w:ascii="仿宋_GB2312" w:hAnsi="仿宋_GB2312" w:eastAsia="仿宋_GB2312" w:cs="Times New Roman"/>
          <w:color w:val="auto"/>
          <w:kern w:val="0"/>
          <w:sz w:val="32"/>
          <w:szCs w:val="32"/>
          <w:lang w:val="en-US" w:eastAsia="zh-CN"/>
        </w:rPr>
        <w:t>部门整体支出绩效评价</w:t>
      </w:r>
      <w:r>
        <w:rPr>
          <w:rFonts w:hint="eastAsia" w:ascii="仿宋_GB2312" w:hAnsi="仿宋_GB2312" w:eastAsia="仿宋_GB2312" w:cs="Times New Roman"/>
          <w:color w:val="auto"/>
          <w:kern w:val="0"/>
          <w:sz w:val="32"/>
          <w:szCs w:val="32"/>
        </w:rPr>
        <w:t>，涉及一般公共预算支出</w:t>
      </w:r>
      <w:r>
        <w:rPr>
          <w:rFonts w:hint="eastAsia" w:ascii="仿宋_GB2312" w:hAnsi="仿宋_GB2312" w:eastAsia="仿宋_GB2312" w:cs="Times New Roman"/>
          <w:color w:val="auto"/>
          <w:kern w:val="0"/>
          <w:sz w:val="32"/>
          <w:szCs w:val="32"/>
          <w:lang w:val="en-US" w:eastAsia="zh-CN"/>
        </w:rPr>
        <w:t>315.51</w:t>
      </w:r>
      <w:r>
        <w:rPr>
          <w:rFonts w:hint="eastAsia" w:ascii="仿宋_GB2312" w:hAnsi="仿宋_GB2312" w:eastAsia="仿宋_GB2312" w:cs="Times New Roman"/>
          <w:color w:val="auto"/>
          <w:kern w:val="0"/>
          <w:sz w:val="32"/>
          <w:szCs w:val="32"/>
        </w:rPr>
        <w:t>万元</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政府性基金预算支出0万元</w:t>
      </w:r>
      <w:r>
        <w:rPr>
          <w:rFonts w:hint="eastAsia" w:ascii="仿宋_GB2312" w:hAnsi="仿宋_GB2312" w:eastAsia="仿宋_GB2312" w:cs="Times New Roman"/>
          <w:color w:val="auto"/>
          <w:kern w:val="0"/>
          <w:sz w:val="32"/>
          <w:szCs w:val="32"/>
        </w:rPr>
        <w:t>。从评价情况来看，</w:t>
      </w:r>
      <w:r>
        <w:rPr>
          <w:rFonts w:hint="eastAsia" w:ascii="仿宋_GB2312" w:hAnsi="仿宋_GB2312" w:eastAsia="仿宋_GB2312" w:cs="Times New Roman"/>
          <w:color w:val="auto"/>
          <w:kern w:val="0"/>
          <w:sz w:val="32"/>
          <w:szCs w:val="32"/>
          <w:lang w:val="en-US" w:eastAsia="zh-CN"/>
        </w:rPr>
        <w:t>整体评价良好</w:t>
      </w:r>
      <w:r>
        <w:rPr>
          <w:rFonts w:hint="eastAsia" w:ascii="仿宋_GB2312" w:hAnsi="仿宋_GB2312" w:eastAsia="仿宋_GB2312" w:cs="Times New Roman"/>
          <w:color w:val="auto"/>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color w:val="auto"/>
          <w:kern w:val="0"/>
          <w:sz w:val="32"/>
          <w:szCs w:val="32"/>
        </w:rPr>
        <w:t>部门决算中项目绩效自评</w:t>
      </w:r>
      <w:r>
        <w:rPr>
          <w:rFonts w:hint="eastAsia" w:ascii="楷体_GB2312" w:hAnsi="楷体_GB2312" w:eastAsia="楷体_GB2312" w:cs="楷体_GB2312"/>
          <w:color w:val="auto"/>
          <w:kern w:val="0"/>
          <w:sz w:val="32"/>
          <w:szCs w:val="32"/>
          <w:lang w:val="en-US" w:eastAsia="zh-CN"/>
        </w:rPr>
        <w:t>结果</w:t>
      </w:r>
      <w:r>
        <w:rPr>
          <w:rFonts w:hint="eastAsia" w:ascii="楷体_GB2312" w:hAnsi="楷体_GB2312" w:eastAsia="楷体_GB2312" w:cs="楷体_GB2312"/>
          <w:color w:val="auto"/>
          <w:kern w:val="0"/>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反映2022年度县级部门绩效自评总报告（</w:t>
      </w:r>
      <w:r>
        <w:rPr>
          <w:rFonts w:hint="default" w:ascii="仿宋_GB2312" w:hAnsi="仿宋_GB2312" w:eastAsia="仿宋_GB2312" w:cs="Times New Roman"/>
          <w:color w:val="auto"/>
          <w:kern w:val="0"/>
          <w:sz w:val="32"/>
          <w:szCs w:val="32"/>
          <w:lang w:val="en-US" w:eastAsia="zh-CN"/>
        </w:rPr>
        <w:t>绩效自评总报告主要包括本部门项目绩效目标情况、单位自评工作开展情况、综合评价结论、绩效目标完成情况总体分析、偏离绩效目标的原因和改进措施、绩效自评结果应用情况</w:t>
      </w:r>
      <w:r>
        <w:rPr>
          <w:rFonts w:hint="eastAsia" w:ascii="仿宋_GB2312" w:hAnsi="仿宋_GB2312" w:eastAsia="仿宋_GB2312" w:cs="Times New Roman"/>
          <w:color w:val="auto"/>
          <w:kern w:val="0"/>
          <w:sz w:val="32"/>
          <w:szCs w:val="32"/>
          <w:lang w:val="en-US" w:eastAsia="zh-CN"/>
        </w:rPr>
        <w:t>。）和《项目支出绩效自评表》（自选2个项目）。</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三）部门评价项目绩效评价情况。</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lang w:val="en-US" w:eastAsia="zh-CN"/>
        </w:rPr>
        <w:t>本部门公开</w:t>
      </w:r>
      <w:r>
        <w:rPr>
          <w:rFonts w:hint="eastAsia" w:ascii="仿宋_GB2312" w:hAnsi="仿宋_GB2312" w:eastAsia="仿宋_GB2312" w:cs="Times New Roman"/>
          <w:color w:val="auto"/>
          <w:kern w:val="0"/>
          <w:sz w:val="32"/>
          <w:szCs w:val="32"/>
        </w:rPr>
        <w:t>“中央外经贸发展专项资金（外贸稳中提质事项）”、“南昌市外经贸发展扶持资金”</w:t>
      </w:r>
      <w:r>
        <w:rPr>
          <w:rFonts w:hint="eastAsia" w:ascii="仿宋_GB2312" w:hAnsi="仿宋_GB2312" w:eastAsia="仿宋_GB2312" w:cs="Times New Roman"/>
          <w:color w:val="auto"/>
          <w:kern w:val="0"/>
          <w:sz w:val="32"/>
          <w:szCs w:val="32"/>
          <w:lang w:val="en-US" w:eastAsia="zh-CN"/>
        </w:rPr>
        <w:t>项目部门评价报告（见附件）。</w:t>
      </w:r>
    </w:p>
    <w:p>
      <w:pPr>
        <w:keepNext w:val="0"/>
        <w:keepLines w:val="0"/>
        <w:pageBreakBefore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小标宋简体" w:hAnsi="方正小标宋简体" w:eastAsia="方正小标宋简体" w:cs="方正小标宋简体"/>
          <w:b w:val="0"/>
          <w:bCs w:val="0"/>
          <w:color w:val="auto"/>
          <w:kern w:val="0"/>
          <w:sz w:val="32"/>
          <w:szCs w:val="32"/>
        </w:rPr>
      </w:pPr>
      <w:r>
        <w:rPr>
          <w:rFonts w:hint="eastAsia" w:ascii="方正小标宋简体" w:hAnsi="方正小标宋简体" w:eastAsia="方正小标宋简体" w:cs="方正小标宋简体"/>
          <w:b w:val="0"/>
          <w:bCs w:val="0"/>
          <w:color w:val="auto"/>
          <w:kern w:val="0"/>
          <w:sz w:val="32"/>
          <w:szCs w:val="32"/>
        </w:rPr>
        <w:br w:type="page"/>
      </w:r>
    </w:p>
    <w:p>
      <w:pPr>
        <w:keepNext w:val="0"/>
        <w:keepLines w:val="0"/>
        <w:pageBreakBefore w:val="0"/>
        <w:widowControl/>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第四部分  名词解释</w:t>
      </w:r>
    </w:p>
    <w:p>
      <w:pPr>
        <w:pStyle w:val="4"/>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sz w:val="32"/>
          <w:szCs w:val="32"/>
        </w:rPr>
      </w:pP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（一）财政拨款收入：指县级财政当年拨付的资金。</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（二）事业收入：指事业单位开展专业业务活动及辅助活动取得的收入。</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（三）其他收入：指除财政拨款、事业收入、事业单位经营收入等以 外的各项收入。</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（四）上年结转和结余：填列2017年全部结转和结余的资金数，包 括当年结转结余资金和历年滚存结转结余资金。</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（五）年末结转和结余：填列2018年末全部结转和结余的资金数，包 括当年结转结余资金和历年滚存结转结余资金。</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（六）住房公积金：反映行政事业单位按人力资源和社会保障部、 财政部规定的基本工资和津补贴以及规定比例为职工缴纳的住房公积金。</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（七）三公经费：反映财政拨款安排的因公出国（境）费、公务用车购置及运行费和公务接待费。</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其中，因公出国（境）费反映单位公务出国（境）的国际旅费、国外城市间交通费、住宿费、伙食费、培训费、公杂费等支出；公务用车购置及运行费反映单位公务用车车辆购置支出 （含车辆购置税）及租用费、燃料费、维修费、过路过桥费、保险费等支 出；公务接待费反映单位按规定开支的各类公务接待支出。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机关运行经费；为保障行政单位（含参照公务员法管理的事 业单位）运行用于购买货物和服务的各项资金，包括办公费、印刷费、邮 电费、差旅费、会议费、培训费、福利费、业务费、曰常维修费、专用材料及一般 设备购置费、办公用房物业管理费、办公用房水电费、办公用房取暖费及 其他费用。</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 xml:space="preserve">机关事业单位养老保险缴费支出：反映机关事业单位实施养老保险制度由单位缴纳的基本养老保险费支出 </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（八）行政运行:反映行政单位（包括实行公务员管理的事业单位）的基本支出。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（九）其他商贸事务支出：反映除上述项目以外其他用于商贸事务方面的支出。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（十）公益性岗位补贴：反映财政对符合条件的就业困难人员在公益性岗位就业给予的岗位补贴支出。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（十一）其他社会保障和就业支出：反映其他用于社会保障和就业方面的支出。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（十二）其他支持中小企业发展和管理支出：反映其他用于支持中小企业发展和管理方面支出。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（十三）其他支出:反映除上述项目以外其他不能划分到具体功能科目中的 支出项目。</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lang w:val="en-US" w:eastAsia="zh-CN"/>
        </w:rPr>
        <w:t>（十四）机关运行经费：为保障行政单位（含参照公务员法管理的事 业单位）运行用于购买货物和服务的各项资金，包括办公费、印刷费、邮电费、差旅费、会议费、培训费、福利费、曰常维修费、专用材料及一般 设备购置费、办公用房物业管理费、办公用房水电费、办公用房取暖费及其他费用。</w:t>
      </w:r>
    </w:p>
    <w:p>
      <w:pPr>
        <w:keepNext w:val="0"/>
        <w:keepLines w:val="0"/>
        <w:pageBreakBefore w:val="0"/>
        <w:kinsoku/>
        <w:wordWrap/>
        <w:overflowPunct/>
        <w:topLinePunct w:val="0"/>
        <w:bidi w:val="0"/>
        <w:snapToGrid/>
        <w:spacing w:line="600" w:lineRule="exact"/>
        <w:ind w:firstLine="600"/>
        <w:jc w:val="both"/>
        <w:textAlignment w:val="auto"/>
        <w:rPr>
          <w:rFonts w:hint="eastAsia" w:ascii="仿宋_GB2312" w:hAnsi="仿宋_GB2312" w:eastAsia="仿宋_GB2312"/>
          <w:color w:val="auto"/>
          <w:kern w:val="0"/>
          <w:sz w:val="32"/>
          <w:szCs w:val="32"/>
          <w:lang w:val="en-US" w:eastAsia="zh-CN"/>
        </w:rPr>
      </w:pPr>
    </w:p>
    <w:p>
      <w:pPr>
        <w:keepNext w:val="0"/>
        <w:keepLines w:val="0"/>
        <w:pageBreakBefore w:val="0"/>
        <w:numPr>
          <w:ilvl w:val="0"/>
          <w:numId w:val="1"/>
        </w:numPr>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 xml:space="preserve"> 附    件</w:t>
      </w:r>
    </w:p>
    <w:p>
      <w:pPr>
        <w:keepNext w:val="0"/>
        <w:keepLines w:val="0"/>
        <w:pageBreakBefore w:val="0"/>
        <w:numPr>
          <w:ilvl w:val="0"/>
          <w:numId w:val="0"/>
        </w:numPr>
        <w:kinsoku/>
        <w:wordWrap/>
        <w:overflowPunct/>
        <w:topLinePunct w:val="0"/>
        <w:bidi w:val="0"/>
        <w:snapToGrid/>
        <w:spacing w:line="600" w:lineRule="exact"/>
        <w:jc w:val="both"/>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numPr>
          <w:ilvl w:val="0"/>
          <w:numId w:val="0"/>
        </w:numPr>
        <w:kinsoku/>
        <w:wordWrap/>
        <w:overflowPunct/>
        <w:topLinePunct w:val="0"/>
        <w:bidi w:val="0"/>
        <w:snapToGrid/>
        <w:spacing w:line="600" w:lineRule="exact"/>
        <w:jc w:val="both"/>
        <w:textAlignment w:val="auto"/>
        <w:rPr>
          <w:rFonts w:hint="eastAsia" w:ascii="仿宋_GB2312" w:hAnsi="仿宋_GB2312" w:eastAsia="仿宋_GB2312"/>
          <w:color w:val="auto"/>
          <w:sz w:val="32"/>
          <w:szCs w:val="32"/>
        </w:rPr>
      </w:pPr>
      <w:r>
        <w:rPr>
          <w:rFonts w:hint="eastAsia" w:ascii="仿宋" w:hAnsi="仿宋" w:eastAsia="仿宋"/>
          <w:kern w:val="0"/>
          <w:sz w:val="30"/>
          <w:szCs w:val="30"/>
          <w:lang w:eastAsia="zh-CN"/>
        </w:rPr>
        <w:t>见附件</w:t>
      </w:r>
      <w:r>
        <w:rPr>
          <w:rFonts w:hint="eastAsia" w:ascii="仿宋" w:hAnsi="仿宋" w:eastAsia="仿宋"/>
          <w:kern w:val="0"/>
          <w:sz w:val="30"/>
          <w:szCs w:val="30"/>
          <w:lang w:val="en-US" w:eastAsia="zh-CN"/>
        </w:rPr>
        <w:t>Excell表</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中央转移支付商务局（项目)绩效目标自评表39.64万元</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default" w:ascii="方正小标宋简体" w:hAnsi="方正小标宋简体" w:eastAsia="仿宋_GB2312" w:cs="方正小标宋简体"/>
          <w:b w:val="0"/>
          <w:bCs w:val="0"/>
          <w:color w:val="auto"/>
          <w:sz w:val="44"/>
          <w:szCs w:val="44"/>
          <w:lang w:val="en-US" w:eastAsia="zh-CN"/>
        </w:rPr>
      </w:pPr>
      <w:r>
        <w:rPr>
          <w:rFonts w:hint="eastAsia" w:ascii="仿宋_GB2312" w:hAnsi="仿宋_GB2312" w:eastAsia="仿宋_GB2312"/>
          <w:color w:val="auto"/>
          <w:sz w:val="32"/>
          <w:szCs w:val="32"/>
          <w:lang w:val="en-US" w:eastAsia="zh-CN"/>
        </w:rPr>
        <w:t>中央转移支付商务局（项目)绩效目标自评表61.87万元</w:t>
      </w:r>
    </w:p>
    <w:p>
      <w:pPr>
        <w:keepNext w:val="0"/>
        <w:keepLines w:val="0"/>
        <w:pageBreakBefore w:val="0"/>
        <w:numPr>
          <w:ilvl w:val="0"/>
          <w:numId w:val="0"/>
        </w:numPr>
        <w:kinsoku/>
        <w:wordWrap/>
        <w:overflowPunct/>
        <w:topLinePunct w:val="0"/>
        <w:bidi w:val="0"/>
        <w:snapToGrid/>
        <w:spacing w:line="600" w:lineRule="exact"/>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Word文档</w:t>
      </w:r>
      <w:r>
        <w:rPr>
          <w:rFonts w:hint="default" w:ascii="仿宋_GB2312" w:hAnsi="仿宋_GB2312" w:eastAsia="仿宋_GB2312"/>
          <w:color w:val="auto"/>
          <w:sz w:val="32"/>
          <w:szCs w:val="32"/>
          <w:lang w:val="en-US" w:eastAsia="zh-CN"/>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中央</w:t>
      </w:r>
      <w:r>
        <w:rPr>
          <w:rFonts w:hint="default" w:ascii="仿宋_GB2312" w:hAnsi="仿宋_GB2312" w:eastAsia="仿宋_GB2312"/>
          <w:color w:val="auto"/>
          <w:sz w:val="32"/>
          <w:szCs w:val="32"/>
          <w:lang w:val="en-US" w:eastAsia="zh-CN"/>
        </w:rPr>
        <w:t>转移支付</w:t>
      </w:r>
      <w:r>
        <w:rPr>
          <w:rFonts w:hint="eastAsia" w:ascii="仿宋_GB2312" w:hAnsi="仿宋_GB2312" w:eastAsia="仿宋_GB2312"/>
          <w:color w:val="auto"/>
          <w:sz w:val="32"/>
          <w:szCs w:val="32"/>
          <w:lang w:val="en-US" w:eastAsia="zh-CN"/>
        </w:rPr>
        <w:t>商务局</w:t>
      </w:r>
      <w:r>
        <w:rPr>
          <w:rFonts w:hint="default" w:ascii="仿宋_GB2312" w:hAnsi="仿宋_GB2312" w:eastAsia="仿宋_GB2312"/>
          <w:color w:val="auto"/>
          <w:sz w:val="32"/>
          <w:szCs w:val="32"/>
          <w:lang w:val="en-US" w:eastAsia="zh-CN"/>
        </w:rPr>
        <w:t>2022年度绩效自评报告39.64</w:t>
      </w:r>
      <w:r>
        <w:rPr>
          <w:rFonts w:hint="eastAsia" w:ascii="仿宋_GB2312" w:hAnsi="仿宋_GB2312" w:eastAsia="仿宋_GB2312"/>
          <w:color w:val="auto"/>
          <w:sz w:val="32"/>
          <w:szCs w:val="32"/>
          <w:lang w:val="en-US" w:eastAsia="zh-CN"/>
        </w:rPr>
        <w:t>万元</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中央</w:t>
      </w:r>
      <w:r>
        <w:rPr>
          <w:rFonts w:hint="default" w:ascii="仿宋_GB2312" w:hAnsi="仿宋_GB2312" w:eastAsia="仿宋_GB2312"/>
          <w:color w:val="auto"/>
          <w:sz w:val="32"/>
          <w:szCs w:val="32"/>
          <w:lang w:val="en-US" w:eastAsia="zh-CN"/>
        </w:rPr>
        <w:t>转移支付</w:t>
      </w:r>
      <w:r>
        <w:rPr>
          <w:rFonts w:hint="eastAsia" w:ascii="仿宋_GB2312" w:hAnsi="仿宋_GB2312" w:eastAsia="仿宋_GB2312"/>
          <w:color w:val="auto"/>
          <w:sz w:val="32"/>
          <w:szCs w:val="32"/>
          <w:lang w:val="en-US" w:eastAsia="zh-CN"/>
        </w:rPr>
        <w:t>商务局</w:t>
      </w:r>
      <w:r>
        <w:rPr>
          <w:rFonts w:hint="default" w:ascii="仿宋_GB2312" w:hAnsi="仿宋_GB2312" w:eastAsia="仿宋_GB2312"/>
          <w:color w:val="auto"/>
          <w:sz w:val="32"/>
          <w:szCs w:val="32"/>
          <w:lang w:val="en-US" w:eastAsia="zh-CN"/>
        </w:rPr>
        <w:t>2022年度绩效自评报告</w:t>
      </w:r>
      <w:r>
        <w:rPr>
          <w:rFonts w:hint="eastAsia" w:ascii="仿宋_GB2312" w:hAnsi="仿宋_GB2312" w:eastAsia="仿宋_GB2312"/>
          <w:color w:val="auto"/>
          <w:sz w:val="32"/>
          <w:szCs w:val="32"/>
          <w:lang w:val="en-US" w:eastAsia="zh-CN"/>
        </w:rPr>
        <w:t>61.87万元</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FEDBBF"/>
    <w:multiLevelType w:val="singleLevel"/>
    <w:tmpl w:val="69FEDBBF"/>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YzE3MjQ4Nzk3NDJjZmVmMTFhNmExYjI3YjViYjkifQ=="/>
  </w:docVars>
  <w:rsids>
    <w:rsidRoot w:val="0EAF6DF4"/>
    <w:rsid w:val="01066AF3"/>
    <w:rsid w:val="07342561"/>
    <w:rsid w:val="08874912"/>
    <w:rsid w:val="0A022368"/>
    <w:rsid w:val="0A5E406D"/>
    <w:rsid w:val="0C7C6717"/>
    <w:rsid w:val="0E110BA6"/>
    <w:rsid w:val="0E700CBA"/>
    <w:rsid w:val="0EAF6DF4"/>
    <w:rsid w:val="12460287"/>
    <w:rsid w:val="12EB7C9E"/>
    <w:rsid w:val="19DB1D09"/>
    <w:rsid w:val="1C7401AB"/>
    <w:rsid w:val="1D5758D7"/>
    <w:rsid w:val="1E5533C2"/>
    <w:rsid w:val="1E6432D4"/>
    <w:rsid w:val="1EA47B74"/>
    <w:rsid w:val="1F770DE5"/>
    <w:rsid w:val="26C03BD5"/>
    <w:rsid w:val="273A33DC"/>
    <w:rsid w:val="27914A0E"/>
    <w:rsid w:val="27D57BA0"/>
    <w:rsid w:val="2AFD73C3"/>
    <w:rsid w:val="2C523516"/>
    <w:rsid w:val="2CF57589"/>
    <w:rsid w:val="2EA134C5"/>
    <w:rsid w:val="2F697F6B"/>
    <w:rsid w:val="38F15A66"/>
    <w:rsid w:val="3DCE4E6C"/>
    <w:rsid w:val="3EC15658"/>
    <w:rsid w:val="418A09F4"/>
    <w:rsid w:val="4398595E"/>
    <w:rsid w:val="44CF226A"/>
    <w:rsid w:val="452D591E"/>
    <w:rsid w:val="45AF0A29"/>
    <w:rsid w:val="485D29BF"/>
    <w:rsid w:val="4B3B19C7"/>
    <w:rsid w:val="4BD816DD"/>
    <w:rsid w:val="51F55A16"/>
    <w:rsid w:val="54B85DDB"/>
    <w:rsid w:val="5578388A"/>
    <w:rsid w:val="565E1ACA"/>
    <w:rsid w:val="57952B70"/>
    <w:rsid w:val="58054068"/>
    <w:rsid w:val="633B34A5"/>
    <w:rsid w:val="6D7C5096"/>
    <w:rsid w:val="70A86E03"/>
    <w:rsid w:val="70FA7093"/>
    <w:rsid w:val="72F83A5A"/>
    <w:rsid w:val="747D56CB"/>
    <w:rsid w:val="754E1A9A"/>
    <w:rsid w:val="79E85CDC"/>
    <w:rsid w:val="7F2D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xiaxia</dc:creator>
  <cp:lastModifiedBy>熬夜会变丑。</cp:lastModifiedBy>
  <dcterms:modified xsi:type="dcterms:W3CDTF">2023-12-19T01:50:03Z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99ACC8FD15C34053919DEE69947CA734_12</vt:lpwstr>
  </property>
</Properties>
</file>