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spacing w:line="600" w:lineRule="exact"/>
        <w:textAlignment w:val="auto"/>
        <w:rPr>
          <w:rFonts w:ascii="黑体" w:hAnsi="黑体" w:eastAsia="黑体" w:cs="黑体"/>
          <w:color w:val="auto"/>
          <w:sz w:val="32"/>
          <w:szCs w:val="32"/>
          <w:lang w:eastAsia="zh-CN"/>
        </w:rPr>
      </w:pPr>
    </w:p>
    <w:p>
      <w:pPr>
        <w:kinsoku/>
        <w:autoSpaceDE/>
        <w:autoSpaceDN/>
        <w:adjustRightInd/>
        <w:snapToGrid/>
        <w:spacing w:line="600" w:lineRule="exact"/>
        <w:textAlignment w:val="auto"/>
        <w:rPr>
          <w:rFonts w:ascii="楷体" w:hAnsi="楷体" w:eastAsia="楷体" w:cs="楷体"/>
          <w:color w:val="auto"/>
          <w:sz w:val="32"/>
          <w:szCs w:val="32"/>
          <w:lang w:eastAsia="zh-CN"/>
        </w:rPr>
      </w:pPr>
    </w:p>
    <w:p>
      <w:pPr>
        <w:kinsoku/>
        <w:autoSpaceDE/>
        <w:autoSpaceDN/>
        <w:adjustRightInd/>
        <w:snapToGrid/>
        <w:spacing w:line="600" w:lineRule="exact"/>
        <w:jc w:val="center"/>
        <w:textAlignment w:val="auto"/>
        <w:rPr>
          <w:rFonts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lang w:eastAsia="zh-CN"/>
        </w:rPr>
        <w:t>进贤县新区医院</w:t>
      </w: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eastAsia="zh-CN"/>
        </w:rPr>
        <w:t>2</w:t>
      </w:r>
      <w:r>
        <w:rPr>
          <w:rFonts w:hint="eastAsia" w:ascii="方正小标宋简体" w:hAnsi="方正小标宋简体" w:eastAsia="方正小标宋简体" w:cs="方正小标宋简体"/>
          <w:color w:val="auto"/>
          <w:sz w:val="44"/>
          <w:szCs w:val="44"/>
        </w:rPr>
        <w:t>年度决算</w:t>
      </w:r>
      <w:bookmarkEnd w:id="0"/>
    </w:p>
    <w:p>
      <w:pPr>
        <w:kinsoku/>
        <w:autoSpaceDE/>
        <w:autoSpaceDN/>
        <w:adjustRightInd/>
        <w:snapToGrid/>
        <w:spacing w:line="600" w:lineRule="exact"/>
        <w:jc w:val="center"/>
        <w:textAlignment w:val="auto"/>
        <w:rPr>
          <w:rFonts w:ascii="黑体" w:eastAsia="黑体"/>
          <w:color w:val="auto"/>
          <w:sz w:val="32"/>
          <w:szCs w:val="32"/>
          <w:lang w:eastAsia="zh-CN"/>
        </w:rPr>
      </w:pPr>
    </w:p>
    <w:p>
      <w:pPr>
        <w:kinsoku/>
        <w:autoSpaceDE/>
        <w:autoSpaceDN/>
        <w:adjustRightInd/>
        <w:snapToGrid/>
        <w:spacing w:line="60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目    录</w:t>
      </w:r>
    </w:p>
    <w:p>
      <w:pPr>
        <w:kinsoku/>
        <w:autoSpaceDE/>
        <w:autoSpaceDN/>
        <w:adjustRightInd/>
        <w:snapToGrid/>
        <w:spacing w:line="600" w:lineRule="exact"/>
        <w:ind w:firstLine="640"/>
        <w:textAlignment w:val="auto"/>
        <w:rPr>
          <w:rFonts w:ascii="仿宋_GB2312" w:eastAsia="仿宋_GB2312"/>
          <w:color w:val="auto"/>
          <w:sz w:val="32"/>
          <w:szCs w:val="32"/>
        </w:rPr>
      </w:pPr>
    </w:p>
    <w:p>
      <w:pPr>
        <w:kinsoku/>
        <w:autoSpaceDE/>
        <w:autoSpaceDN/>
        <w:adjustRightInd/>
        <w:snapToGrid/>
        <w:spacing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 xml:space="preserve">第一部分  </w:t>
      </w:r>
      <w:r>
        <w:rPr>
          <w:rFonts w:hint="eastAsia" w:ascii="黑体" w:hAnsi="黑体" w:eastAsia="黑体" w:cs="黑体"/>
          <w:bCs/>
          <w:color w:val="auto"/>
          <w:sz w:val="32"/>
          <w:szCs w:val="32"/>
          <w:lang w:eastAsia="zh-CN"/>
        </w:rPr>
        <w:t>进贤县新区医院单位</w:t>
      </w:r>
      <w:r>
        <w:rPr>
          <w:rFonts w:hint="eastAsia" w:ascii="黑体" w:hAnsi="黑体" w:eastAsia="黑体" w:cs="黑体"/>
          <w:bCs/>
          <w:color w:val="auto"/>
          <w:sz w:val="32"/>
          <w:szCs w:val="32"/>
        </w:rPr>
        <w:t>概况</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主要职责</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二、</w:t>
      </w:r>
      <w:r>
        <w:rPr>
          <w:rFonts w:hint="eastAsia" w:ascii="仿宋_GB2312" w:hAnsi="仿宋_GB2312" w:eastAsia="仿宋_GB2312" w:cs="宋体"/>
          <w:color w:val="auto"/>
          <w:sz w:val="32"/>
          <w:szCs w:val="32"/>
          <w:lang w:eastAsia="zh-CN"/>
        </w:rPr>
        <w:t>单位</w:t>
      </w:r>
      <w:r>
        <w:rPr>
          <w:rFonts w:hint="eastAsia" w:ascii="仿宋_GB2312" w:hAnsi="仿宋_GB2312" w:eastAsia="仿宋_GB2312" w:cs="宋体"/>
          <w:color w:val="auto"/>
          <w:sz w:val="32"/>
          <w:szCs w:val="32"/>
        </w:rPr>
        <w:t>基本情况</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eastAsia="zh-CN"/>
        </w:rPr>
        <w:t>2</w:t>
      </w:r>
      <w:r>
        <w:rPr>
          <w:rFonts w:hint="eastAsia" w:ascii="黑体" w:hAnsi="黑体" w:eastAsia="黑体"/>
          <w:color w:val="auto"/>
          <w:sz w:val="32"/>
          <w:szCs w:val="32"/>
        </w:rPr>
        <w:t>年度</w:t>
      </w:r>
      <w:r>
        <w:rPr>
          <w:rFonts w:hint="eastAsia" w:ascii="黑体" w:hAnsi="黑体" w:eastAsia="黑体"/>
          <w:color w:val="auto"/>
          <w:sz w:val="32"/>
          <w:szCs w:val="32"/>
          <w:lang w:eastAsia="zh-CN"/>
        </w:rPr>
        <w:t>单位</w:t>
      </w:r>
      <w:r>
        <w:rPr>
          <w:rFonts w:hint="eastAsia" w:ascii="黑体" w:hAnsi="黑体" w:eastAsia="黑体"/>
          <w:color w:val="auto"/>
          <w:sz w:val="32"/>
          <w:szCs w:val="32"/>
        </w:rPr>
        <w:t>决算表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二、收入决算表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三、支出决算表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四、财政拨款收入支出决算总表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五、一般公共预算财政拨款支出决算表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六、一般公共预算财政拨款基本支出决算表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七、</w:t>
      </w:r>
      <w:r>
        <w:rPr>
          <w:rFonts w:hint="eastAsia" w:ascii="仿宋_GB2312" w:hAnsi="仿宋_GB2312" w:eastAsia="仿宋_GB2312" w:cs="宋体"/>
          <w:color w:val="auto"/>
          <w:sz w:val="32"/>
          <w:szCs w:val="32"/>
        </w:rPr>
        <w:t>政府性基金预算财政拨款收入支出决算表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八、国有资本经营预算财政拨款支出决算表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九、</w:t>
      </w:r>
      <w:r>
        <w:rPr>
          <w:rFonts w:hint="eastAsia" w:ascii="仿宋_GB2312" w:hAnsi="仿宋_GB2312" w:eastAsia="仿宋_GB2312" w:cs="宋体"/>
          <w:color w:val="auto"/>
          <w:sz w:val="32"/>
          <w:szCs w:val="32"/>
        </w:rPr>
        <w:t>财政拨款“三公”经费支出决算表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十</w:t>
      </w:r>
      <w:r>
        <w:rPr>
          <w:rFonts w:hint="eastAsia" w:ascii="仿宋_GB2312" w:hAnsi="仿宋_GB2312" w:eastAsia="仿宋_GB2312" w:cs="宋体"/>
          <w:color w:val="auto"/>
          <w:sz w:val="32"/>
          <w:szCs w:val="32"/>
        </w:rPr>
        <w:t>、国有资产占用情况表</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eastAsia="zh-CN"/>
        </w:rPr>
        <w:t>2</w:t>
      </w:r>
      <w:r>
        <w:rPr>
          <w:rFonts w:hint="eastAsia" w:ascii="黑体" w:hAnsi="黑体" w:eastAsia="黑体"/>
          <w:color w:val="auto"/>
          <w:sz w:val="32"/>
          <w:szCs w:val="32"/>
        </w:rPr>
        <w:t>年度</w:t>
      </w:r>
      <w:r>
        <w:rPr>
          <w:rFonts w:hint="eastAsia" w:ascii="黑体" w:hAnsi="黑体" w:eastAsia="黑体"/>
          <w:color w:val="auto"/>
          <w:sz w:val="32"/>
          <w:szCs w:val="32"/>
          <w:lang w:eastAsia="zh-CN"/>
        </w:rPr>
        <w:t>单位</w:t>
      </w:r>
      <w:r>
        <w:rPr>
          <w:rFonts w:hint="eastAsia" w:ascii="黑体" w:hAnsi="黑体" w:eastAsia="黑体"/>
          <w:color w:val="auto"/>
          <w:sz w:val="32"/>
          <w:szCs w:val="32"/>
        </w:rPr>
        <w:t>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一、收入决算情况说明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二、支出决算情况说明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三、财政拨款支出决算情况说明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四、一般公共预算财政拨款基本支出决算情况说明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五、财政拨款“三公”经费支出决算情况说明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六、机关运行经费支出情况说明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七、政府采购支出情况说明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八、国有资产占用情况说明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九、预算绩效情况说明</w:t>
      </w:r>
    </w:p>
    <w:p>
      <w:pPr>
        <w:kinsoku/>
        <w:autoSpaceDE/>
        <w:autoSpaceDN/>
        <w:adjustRightInd/>
        <w:snapToGrid/>
        <w:spacing w:line="600" w:lineRule="exact"/>
        <w:ind w:firstLine="640" w:firstLineChars="200"/>
        <w:jc w:val="both"/>
        <w:textAlignment w:val="auto"/>
        <w:rPr>
          <w:rFonts w:ascii="仿宋_GB2312" w:hAnsi="仿宋_GB2312" w:eastAsia="仿宋_GB2312"/>
          <w:color w:val="auto"/>
          <w:sz w:val="32"/>
          <w:szCs w:val="32"/>
        </w:rPr>
      </w:pPr>
      <w:r>
        <w:rPr>
          <w:rFonts w:hint="eastAsia" w:ascii="黑体" w:hAnsi="黑体" w:eastAsia="黑体"/>
          <w:color w:val="auto"/>
          <w:sz w:val="32"/>
          <w:szCs w:val="32"/>
        </w:rPr>
        <w:t>第四部分  名词解释</w:t>
      </w:r>
    </w:p>
    <w:p>
      <w:pPr>
        <w:kinsoku/>
        <w:autoSpaceDE/>
        <w:autoSpaceDN/>
        <w:adjustRightInd/>
        <w:snapToGrid/>
        <w:spacing w:line="600" w:lineRule="exact"/>
        <w:jc w:val="center"/>
        <w:textAlignment w:val="auto"/>
        <w:rPr>
          <w:rFonts w:ascii="宋体" w:hAnsi="宋体"/>
          <w:b/>
          <w:color w:val="auto"/>
          <w:sz w:val="32"/>
          <w:szCs w:val="32"/>
        </w:rPr>
      </w:pPr>
      <w:r>
        <w:rPr>
          <w:rFonts w:hint="eastAsia" w:ascii="宋体" w:hAnsi="宋体"/>
          <w:b/>
          <w:color w:val="auto"/>
          <w:sz w:val="32"/>
          <w:szCs w:val="32"/>
        </w:rPr>
        <w:br w:type="page"/>
      </w:r>
    </w:p>
    <w:p>
      <w:pPr>
        <w:kinsoku/>
        <w:autoSpaceDE/>
        <w:autoSpaceDN/>
        <w:adjustRightInd/>
        <w:snapToGrid/>
        <w:spacing w:line="60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 xml:space="preserve">第一部分  </w:t>
      </w:r>
      <w:r>
        <w:rPr>
          <w:rFonts w:hint="eastAsia" w:ascii="方正小标宋简体" w:hAnsi="方正小标宋简体" w:eastAsia="方正小标宋简体" w:cs="方正小标宋简体"/>
          <w:bCs/>
          <w:color w:val="auto"/>
          <w:sz w:val="44"/>
          <w:szCs w:val="44"/>
          <w:lang w:eastAsia="zh-CN"/>
        </w:rPr>
        <w:t>进贤县新区医院</w:t>
      </w:r>
      <w:r>
        <w:rPr>
          <w:rFonts w:hint="eastAsia" w:ascii="方正小标宋简体" w:hAnsi="方正小标宋简体" w:eastAsia="方正小标宋简体" w:cs="方正小标宋简体"/>
          <w:bCs/>
          <w:color w:val="auto"/>
          <w:sz w:val="44"/>
          <w:szCs w:val="44"/>
        </w:rPr>
        <w:t>概况</w:t>
      </w:r>
    </w:p>
    <w:p>
      <w:pPr>
        <w:kinsoku/>
        <w:autoSpaceDE/>
        <w:autoSpaceDN/>
        <w:adjustRightInd/>
        <w:snapToGrid/>
        <w:spacing w:line="600" w:lineRule="exact"/>
        <w:ind w:firstLine="630"/>
        <w:jc w:val="center"/>
        <w:textAlignment w:val="auto"/>
        <w:rPr>
          <w:color w:val="auto"/>
          <w:sz w:val="32"/>
          <w:szCs w:val="32"/>
        </w:rPr>
      </w:pPr>
    </w:p>
    <w:p>
      <w:pPr>
        <w:kinsoku/>
        <w:autoSpaceDE/>
        <w:autoSpaceDN/>
        <w:adjustRightInd/>
        <w:snapToGrid/>
        <w:spacing w:line="600" w:lineRule="exact"/>
        <w:ind w:firstLine="630"/>
        <w:jc w:val="both"/>
        <w:textAlignment w:val="auto"/>
        <w:rPr>
          <w:rFonts w:ascii="黑体" w:hAnsi="黑体" w:eastAsia="黑体"/>
          <w:color w:val="auto"/>
          <w:sz w:val="32"/>
          <w:szCs w:val="32"/>
          <w:lang w:eastAsia="zh-CN"/>
        </w:rPr>
      </w:pPr>
      <w:r>
        <w:rPr>
          <w:rFonts w:hint="eastAsia" w:ascii="黑体" w:hAnsi="黑体" w:eastAsia="黑体"/>
          <w:color w:val="auto"/>
          <w:sz w:val="32"/>
          <w:szCs w:val="32"/>
        </w:rPr>
        <w:t>一、</w:t>
      </w:r>
      <w:r>
        <w:rPr>
          <w:rFonts w:hint="eastAsia" w:ascii="黑体" w:hAnsi="黑体" w:eastAsia="黑体"/>
          <w:color w:val="auto"/>
          <w:sz w:val="32"/>
          <w:szCs w:val="32"/>
          <w:lang w:eastAsia="zh-CN"/>
        </w:rPr>
        <w:t>单位</w:t>
      </w:r>
      <w:r>
        <w:rPr>
          <w:rFonts w:hint="eastAsia" w:ascii="黑体" w:hAnsi="黑体" w:eastAsia="黑体"/>
          <w:color w:val="auto"/>
          <w:sz w:val="32"/>
          <w:szCs w:val="32"/>
        </w:rPr>
        <w:t>主要职</w:t>
      </w:r>
      <w:r>
        <w:rPr>
          <w:rFonts w:hint="eastAsia" w:ascii="黑体" w:hAnsi="黑体" w:eastAsia="黑体"/>
          <w:color w:val="auto"/>
          <w:sz w:val="32"/>
          <w:szCs w:val="32"/>
          <w:lang w:eastAsia="zh-CN"/>
        </w:rPr>
        <w:t>责</w:t>
      </w:r>
    </w:p>
    <w:p>
      <w:pPr>
        <w:kinsoku/>
        <w:autoSpaceDE/>
        <w:autoSpaceDN/>
        <w:adjustRightInd/>
        <w:snapToGrid/>
        <w:spacing w:line="600" w:lineRule="exact"/>
        <w:ind w:firstLine="630"/>
        <w:jc w:val="both"/>
        <w:textAlignment w:val="auto"/>
        <w:rPr>
          <w:rFonts w:ascii="仿宋_GB2312" w:hAnsi="仿宋_GB2312" w:eastAsia="仿宋_GB2312"/>
          <w:color w:val="auto"/>
          <w:sz w:val="32"/>
          <w:szCs w:val="32"/>
        </w:rPr>
      </w:pPr>
    </w:p>
    <w:p>
      <w:pPr>
        <w:kinsoku/>
        <w:autoSpaceDE/>
        <w:autoSpaceDN/>
        <w:adjustRightInd/>
        <w:snapToGrid/>
        <w:spacing w:line="600" w:lineRule="exact"/>
        <w:ind w:firstLine="63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 w:hAnsi="仿宋" w:eastAsia="仿宋"/>
          <w:sz w:val="32"/>
          <w:szCs w:val="32"/>
        </w:rPr>
        <w:t>为人民身体健康提供预防与医疗保健服务。</w:t>
      </w:r>
    </w:p>
    <w:p>
      <w:pPr>
        <w:kinsoku/>
        <w:autoSpaceDE/>
        <w:autoSpaceDN/>
        <w:adjustRightInd/>
        <w:snapToGrid/>
        <w:spacing w:line="600" w:lineRule="exact"/>
        <w:ind w:firstLine="630"/>
        <w:jc w:val="both"/>
        <w:textAlignment w:val="auto"/>
        <w:rPr>
          <w:rFonts w:ascii="仿宋_GB2312" w:hAnsi="仿宋_GB2312" w:eastAsia="仿宋_GB2312"/>
          <w:color w:val="auto"/>
          <w:sz w:val="32"/>
          <w:szCs w:val="32"/>
        </w:rPr>
      </w:pPr>
    </w:p>
    <w:p>
      <w:pPr>
        <w:kinsoku/>
        <w:autoSpaceDE/>
        <w:autoSpaceDN/>
        <w:adjustRightInd/>
        <w:snapToGrid/>
        <w:spacing w:line="600" w:lineRule="exact"/>
        <w:ind w:firstLine="630"/>
        <w:jc w:val="both"/>
        <w:textAlignment w:val="auto"/>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单位</w:t>
      </w:r>
      <w:r>
        <w:rPr>
          <w:rFonts w:hint="eastAsia" w:ascii="黑体" w:hAnsi="黑体" w:eastAsia="黑体"/>
          <w:color w:val="auto"/>
          <w:sz w:val="32"/>
          <w:szCs w:val="32"/>
        </w:rPr>
        <w:t>基本情况</w:t>
      </w:r>
    </w:p>
    <w:p>
      <w:pPr>
        <w:kinsoku/>
        <w:autoSpaceDE/>
        <w:autoSpaceDN/>
        <w:adjustRightInd/>
        <w:snapToGrid/>
        <w:spacing w:line="600" w:lineRule="exact"/>
        <w:ind w:firstLine="640" w:firstLineChars="200"/>
        <w:jc w:val="both"/>
        <w:textAlignment w:val="auto"/>
        <w:rPr>
          <w:rFonts w:ascii="仿宋_GB2312" w:hAnsi="仿宋_GB2312" w:eastAsia="仿宋_GB2312"/>
          <w:color w:val="auto"/>
          <w:sz w:val="32"/>
          <w:szCs w:val="32"/>
          <w:lang w:eastAsia="zh-CN"/>
        </w:rPr>
      </w:pPr>
    </w:p>
    <w:p>
      <w:pPr>
        <w:kinsoku/>
        <w:autoSpaceDE/>
        <w:autoSpaceDN/>
        <w:adjustRightInd/>
        <w:snapToGrid/>
        <w:spacing w:line="600" w:lineRule="exact"/>
        <w:ind w:firstLine="640" w:firstLineChars="200"/>
        <w:jc w:val="both"/>
        <w:textAlignment w:val="auto"/>
        <w:rPr>
          <w:rFonts w:ascii="仿宋_GB2312" w:hAnsi="仿宋_GB2312" w:eastAsia="仿宋_GB2312" w:cs="Times New Roman"/>
          <w:color w:val="auto"/>
          <w:sz w:val="32"/>
          <w:szCs w:val="32"/>
          <w:lang w:eastAsia="zh-CN"/>
        </w:rPr>
      </w:pPr>
      <w:r>
        <w:rPr>
          <w:rFonts w:hint="eastAsia" w:ascii="仿宋_GB2312" w:hAnsi="仿宋_GB2312" w:eastAsia="仿宋_GB2312"/>
          <w:color w:val="auto"/>
          <w:sz w:val="32"/>
          <w:szCs w:val="32"/>
          <w:lang w:eastAsia="zh-CN"/>
        </w:rPr>
        <w:t>本单位设立 9 个内设机构，分别是蛇伤专科、</w:t>
      </w:r>
      <w:r>
        <w:rPr>
          <w:rFonts w:hint="eastAsia" w:ascii="仿宋_GB2312" w:hAnsi="仿宋_GB2312" w:eastAsia="仿宋_GB2312" w:cs="Times New Roman"/>
          <w:color w:val="auto"/>
          <w:sz w:val="32"/>
          <w:szCs w:val="32"/>
          <w:lang w:eastAsia="zh-CN"/>
        </w:rPr>
        <w:t>药房、药库、B超室、化验室、放射科、妇产科、内科、外科。</w:t>
      </w:r>
    </w:p>
    <w:p>
      <w:pPr>
        <w:kinsoku/>
        <w:autoSpaceDE/>
        <w:autoSpaceDN/>
        <w:adjustRightInd/>
        <w:snapToGrid/>
        <w:spacing w:line="600" w:lineRule="exact"/>
        <w:ind w:firstLine="63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年年末实有人数  </w:t>
      </w:r>
      <w:r>
        <w:rPr>
          <w:rFonts w:hint="eastAsia" w:ascii="仿宋_GB2312" w:hAnsi="仿宋_GB2312" w:eastAsia="仿宋_GB2312"/>
          <w:color w:val="auto"/>
          <w:sz w:val="32"/>
          <w:szCs w:val="32"/>
          <w:lang w:eastAsia="zh-CN"/>
        </w:rPr>
        <w:t>49</w:t>
      </w:r>
      <w:r>
        <w:rPr>
          <w:rFonts w:hint="eastAsia" w:ascii="仿宋_GB2312" w:hAnsi="仿宋_GB2312" w:eastAsia="仿宋_GB2312"/>
          <w:color w:val="auto"/>
          <w:sz w:val="32"/>
          <w:szCs w:val="32"/>
        </w:rPr>
        <w:t xml:space="preserve"> 人，其中在职人员  </w:t>
      </w:r>
      <w:r>
        <w:rPr>
          <w:rFonts w:hint="eastAsia" w:ascii="仿宋_GB2312" w:hAnsi="仿宋_GB2312" w:eastAsia="仿宋_GB2312"/>
          <w:color w:val="auto"/>
          <w:sz w:val="32"/>
          <w:szCs w:val="32"/>
          <w:lang w:eastAsia="zh-CN"/>
        </w:rPr>
        <w:t>30</w:t>
      </w:r>
      <w:r>
        <w:rPr>
          <w:rFonts w:hint="eastAsia" w:ascii="仿宋_GB2312" w:hAnsi="仿宋_GB2312" w:eastAsia="仿宋_GB2312"/>
          <w:color w:val="auto"/>
          <w:sz w:val="32"/>
          <w:szCs w:val="32"/>
        </w:rPr>
        <w:t xml:space="preserve">人，离休人员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人，退休人员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；年末其他人员</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人；年末学生人数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 xml:space="preserve">   19  </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insoku/>
        <w:autoSpaceDE/>
        <w:autoSpaceDN/>
        <w:adjustRightInd/>
        <w:snapToGrid/>
        <w:spacing w:line="600" w:lineRule="exact"/>
        <w:ind w:firstLine="640"/>
        <w:jc w:val="center"/>
        <w:textAlignment w:val="auto"/>
        <w:rPr>
          <w:rFonts w:ascii="宋体" w:hAnsi="宋体"/>
          <w:b/>
          <w:color w:val="auto"/>
          <w:sz w:val="32"/>
          <w:szCs w:val="32"/>
        </w:rPr>
      </w:pPr>
      <w:r>
        <w:rPr>
          <w:rFonts w:hint="eastAsia" w:ascii="宋体" w:hAnsi="宋体"/>
          <w:b/>
          <w:color w:val="auto"/>
          <w:sz w:val="32"/>
          <w:szCs w:val="32"/>
        </w:rPr>
        <w:br w:type="page"/>
      </w:r>
    </w:p>
    <w:p>
      <w:pPr>
        <w:kinsoku/>
        <w:autoSpaceDE/>
        <w:autoSpaceDN/>
        <w:adjustRightInd/>
        <w:snapToGrid/>
        <w:spacing w:line="60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第二部分  202</w:t>
      </w:r>
      <w:r>
        <w:rPr>
          <w:rFonts w:hint="eastAsia" w:ascii="方正小标宋简体" w:hAnsi="方正小标宋简体" w:eastAsia="方正小标宋简体" w:cs="方正小标宋简体"/>
          <w:bCs/>
          <w:color w:val="auto"/>
          <w:sz w:val="44"/>
          <w:szCs w:val="44"/>
          <w:lang w:eastAsia="zh-CN"/>
        </w:rPr>
        <w:t>2</w:t>
      </w:r>
      <w:r>
        <w:rPr>
          <w:rFonts w:hint="eastAsia" w:ascii="方正小标宋简体" w:hAnsi="方正小标宋简体" w:eastAsia="方正小标宋简体" w:cs="方正小标宋简体"/>
          <w:bCs/>
          <w:color w:val="auto"/>
          <w:sz w:val="44"/>
          <w:szCs w:val="44"/>
        </w:rPr>
        <w:t>年度</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决算表</w:t>
      </w:r>
    </w:p>
    <w:p>
      <w:pPr>
        <w:spacing w:line="360" w:lineRule="auto"/>
        <w:rPr>
          <w:rFonts w:eastAsia="宋体"/>
          <w:color w:val="auto"/>
          <w:szCs w:val="30"/>
          <w:lang w:eastAsia="zh-CN"/>
        </w:rPr>
      </w:pPr>
      <w:r>
        <w:rPr>
          <w:rFonts w:hint="eastAsia" w:eastAsia="宋体"/>
          <w:color w:val="auto"/>
          <w:szCs w:val="30"/>
          <w:lang w:eastAsia="zh-CN"/>
        </w:rPr>
        <w:drawing>
          <wp:inline distT="0" distB="0" distL="114300" distR="114300">
            <wp:extent cx="5273040" cy="4887595"/>
            <wp:effectExtent l="0" t="0" r="3810" b="8255"/>
            <wp:docPr id="1" name="图片 1" descr="51d3d59567714a23b9902c658142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1d3d59567714a23b9902c658142a15"/>
                    <pic:cNvPicPr>
                      <a:picLocks noChangeAspect="1"/>
                    </pic:cNvPicPr>
                  </pic:nvPicPr>
                  <pic:blipFill>
                    <a:blip r:embed="rId5" cstate="print"/>
                    <a:stretch>
                      <a:fillRect/>
                    </a:stretch>
                  </pic:blipFill>
                  <pic:spPr>
                    <a:xfrm>
                      <a:off x="0" y="0"/>
                      <a:ext cx="5273040" cy="4887595"/>
                    </a:xfrm>
                    <a:prstGeom prst="rect">
                      <a:avLst/>
                    </a:prstGeom>
                  </pic:spPr>
                </pic:pic>
              </a:graphicData>
            </a:graphic>
          </wp:inline>
        </w:drawing>
      </w:r>
    </w:p>
    <w:p>
      <w:pPr>
        <w:spacing w:line="360" w:lineRule="auto"/>
        <w:rPr>
          <w:color w:val="auto"/>
          <w:szCs w:val="30"/>
        </w:rPr>
      </w:pPr>
    </w:p>
    <w:p>
      <w:pPr>
        <w:spacing w:line="360" w:lineRule="auto"/>
        <w:jc w:val="center"/>
        <w:rPr>
          <w:rFonts w:eastAsia="宋体"/>
          <w:color w:val="auto"/>
          <w:lang w:eastAsia="zh-CN"/>
        </w:rPr>
      </w:pPr>
      <w:r>
        <w:rPr>
          <w:rFonts w:hint="eastAsia" w:eastAsia="宋体"/>
          <w:color w:val="auto"/>
          <w:lang w:eastAsia="zh-CN"/>
        </w:rPr>
        <w:drawing>
          <wp:inline distT="0" distB="0" distL="114300" distR="114300">
            <wp:extent cx="5268595" cy="2364105"/>
            <wp:effectExtent l="0" t="0" r="8255" b="17145"/>
            <wp:docPr id="2" name="图片 2" descr="170117119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1171191290"/>
                    <pic:cNvPicPr>
                      <a:picLocks noChangeAspect="1"/>
                    </pic:cNvPicPr>
                  </pic:nvPicPr>
                  <pic:blipFill>
                    <a:blip r:embed="rId6" cstate="print"/>
                    <a:stretch>
                      <a:fillRect/>
                    </a:stretch>
                  </pic:blipFill>
                  <pic:spPr>
                    <a:xfrm>
                      <a:off x="0" y="0"/>
                      <a:ext cx="5268595" cy="2364105"/>
                    </a:xfrm>
                    <a:prstGeom prst="rect">
                      <a:avLst/>
                    </a:prstGeom>
                  </pic:spPr>
                </pic:pic>
              </a:graphicData>
            </a:graphic>
          </wp:inline>
        </w:drawing>
      </w:r>
    </w:p>
    <w:p>
      <w:pPr>
        <w:spacing w:line="360" w:lineRule="auto"/>
        <w:rPr>
          <w:color w:val="auto"/>
        </w:rPr>
      </w:pPr>
    </w:p>
    <w:p>
      <w:pPr>
        <w:spacing w:line="360" w:lineRule="auto"/>
        <w:rPr>
          <w:rFonts w:eastAsia="宋体"/>
          <w:lang w:eastAsia="zh-CN"/>
        </w:rPr>
      </w:pPr>
    </w:p>
    <w:p>
      <w:pPr>
        <w:spacing w:line="360" w:lineRule="auto"/>
        <w:jc w:val="center"/>
        <w:rPr>
          <w:color w:val="auto"/>
        </w:rPr>
      </w:pPr>
    </w:p>
    <w:p>
      <w:pPr>
        <w:spacing w:line="360" w:lineRule="auto"/>
        <w:rPr>
          <w:color w:val="auto"/>
        </w:rPr>
      </w:pPr>
    </w:p>
    <w:p>
      <w:pPr>
        <w:spacing w:line="360" w:lineRule="auto"/>
        <w:rPr>
          <w:rFonts w:eastAsia="宋体"/>
          <w:color w:val="auto"/>
          <w:lang w:eastAsia="zh-CN"/>
        </w:rPr>
      </w:pPr>
      <w:r>
        <w:rPr>
          <w:rFonts w:hint="eastAsia" w:eastAsia="宋体"/>
          <w:color w:val="auto"/>
          <w:lang w:eastAsia="zh-CN"/>
        </w:rPr>
        <w:drawing>
          <wp:inline distT="0" distB="0" distL="114300" distR="114300">
            <wp:extent cx="5270500" cy="2961005"/>
            <wp:effectExtent l="0" t="0" r="6350" b="10795"/>
            <wp:docPr id="3" name="图片 3" descr="170117126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01171266565"/>
                    <pic:cNvPicPr>
                      <a:picLocks noChangeAspect="1"/>
                    </pic:cNvPicPr>
                  </pic:nvPicPr>
                  <pic:blipFill>
                    <a:blip r:embed="rId7" cstate="print"/>
                    <a:stretch>
                      <a:fillRect/>
                    </a:stretch>
                  </pic:blipFill>
                  <pic:spPr>
                    <a:xfrm>
                      <a:off x="0" y="0"/>
                      <a:ext cx="5270500" cy="2961005"/>
                    </a:xfrm>
                    <a:prstGeom prst="rect">
                      <a:avLst/>
                    </a:prstGeom>
                  </pic:spPr>
                </pic:pic>
              </a:graphicData>
            </a:graphic>
          </wp:inline>
        </w:drawing>
      </w:r>
    </w:p>
    <w:p>
      <w:pPr>
        <w:spacing w:line="360" w:lineRule="auto"/>
        <w:rPr>
          <w:color w:val="auto"/>
        </w:rPr>
      </w:pPr>
    </w:p>
    <w:p>
      <w:pPr>
        <w:spacing w:line="360" w:lineRule="auto"/>
        <w:jc w:val="center"/>
        <w:rPr>
          <w:rFonts w:eastAsia="宋体"/>
          <w:color w:val="auto"/>
          <w:lang w:eastAsia="zh-CN"/>
        </w:rPr>
      </w:pPr>
      <w:r>
        <w:rPr>
          <w:rFonts w:hint="eastAsia" w:eastAsia="宋体"/>
          <w:color w:val="auto"/>
          <w:lang w:eastAsia="zh-CN"/>
        </w:rPr>
        <w:drawing>
          <wp:inline distT="0" distB="0" distL="114300" distR="114300">
            <wp:extent cx="5271135" cy="3718560"/>
            <wp:effectExtent l="0" t="0" r="5715" b="15240"/>
            <wp:docPr id="4" name="图片 4" descr="1701171309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01171309752"/>
                    <pic:cNvPicPr>
                      <a:picLocks noChangeAspect="1"/>
                    </pic:cNvPicPr>
                  </pic:nvPicPr>
                  <pic:blipFill>
                    <a:blip r:embed="rId8" cstate="print"/>
                    <a:stretch>
                      <a:fillRect/>
                    </a:stretch>
                  </pic:blipFill>
                  <pic:spPr>
                    <a:xfrm>
                      <a:off x="0" y="0"/>
                      <a:ext cx="5271135" cy="3718560"/>
                    </a:xfrm>
                    <a:prstGeom prst="rect">
                      <a:avLst/>
                    </a:prstGeom>
                  </pic:spPr>
                </pic:pic>
              </a:graphicData>
            </a:graphic>
          </wp:inline>
        </w:drawing>
      </w:r>
    </w:p>
    <w:p>
      <w:pPr>
        <w:spacing w:line="360" w:lineRule="auto"/>
        <w:rPr>
          <w:color w:val="auto"/>
        </w:rPr>
      </w:pPr>
    </w:p>
    <w:p>
      <w:pPr>
        <w:spacing w:line="360" w:lineRule="auto"/>
        <w:rPr>
          <w:color w:val="auto"/>
        </w:rPr>
      </w:pPr>
    </w:p>
    <w:p>
      <w:pPr>
        <w:spacing w:line="360" w:lineRule="auto"/>
        <w:jc w:val="center"/>
      </w:pPr>
    </w:p>
    <w:p>
      <w:pPr>
        <w:spacing w:line="360" w:lineRule="auto"/>
      </w:pPr>
    </w:p>
    <w:p>
      <w:pPr>
        <w:spacing w:line="360" w:lineRule="auto"/>
        <w:jc w:val="center"/>
      </w:pPr>
    </w:p>
    <w:p>
      <w:pPr>
        <w:spacing w:line="360" w:lineRule="auto"/>
        <w:jc w:val="center"/>
      </w:pPr>
    </w:p>
    <w:p>
      <w:pPr>
        <w:spacing w:line="360" w:lineRule="auto"/>
        <w:jc w:val="center"/>
      </w:pPr>
    </w:p>
    <w:p>
      <w:pPr>
        <w:spacing w:line="360" w:lineRule="auto"/>
        <w:jc w:val="center"/>
        <w:rPr>
          <w:rFonts w:eastAsia="宋体"/>
          <w:lang w:eastAsia="zh-CN"/>
        </w:rPr>
      </w:pPr>
      <w:r>
        <w:rPr>
          <w:rFonts w:hint="eastAsia" w:eastAsia="宋体"/>
          <w:lang w:eastAsia="zh-CN"/>
        </w:rPr>
        <w:drawing>
          <wp:inline distT="0" distB="0" distL="114300" distR="114300">
            <wp:extent cx="5269230" cy="4304030"/>
            <wp:effectExtent l="0" t="0" r="7620" b="1270"/>
            <wp:docPr id="5" name="图片 5" descr="170117135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01171351214"/>
                    <pic:cNvPicPr>
                      <a:picLocks noChangeAspect="1"/>
                    </pic:cNvPicPr>
                  </pic:nvPicPr>
                  <pic:blipFill>
                    <a:blip r:embed="rId9" cstate="print"/>
                    <a:stretch>
                      <a:fillRect/>
                    </a:stretch>
                  </pic:blipFill>
                  <pic:spPr>
                    <a:xfrm>
                      <a:off x="0" y="0"/>
                      <a:ext cx="5269230" cy="4304030"/>
                    </a:xfrm>
                    <a:prstGeom prst="rect">
                      <a:avLst/>
                    </a:prstGeom>
                  </pic:spPr>
                </pic:pic>
              </a:graphicData>
            </a:graphic>
          </wp:inline>
        </w:drawing>
      </w:r>
    </w:p>
    <w:p>
      <w:pPr>
        <w:spacing w:line="360" w:lineRule="auto"/>
        <w:jc w:val="both"/>
        <w:rPr>
          <w:rFonts w:eastAsia="宋体"/>
          <w:color w:val="auto"/>
          <w:lang w:eastAsia="zh-CN"/>
        </w:rPr>
      </w:pPr>
      <w:r>
        <w:rPr>
          <w:rFonts w:hint="eastAsia" w:eastAsia="宋体"/>
          <w:color w:val="auto"/>
          <w:lang w:eastAsia="zh-CN"/>
        </w:rPr>
        <w:drawing>
          <wp:inline distT="0" distB="0" distL="114300" distR="114300">
            <wp:extent cx="5266690" cy="8310880"/>
            <wp:effectExtent l="0" t="0" r="10160" b="13970"/>
            <wp:docPr id="6" name="图片 6" descr="170117152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01171520339"/>
                    <pic:cNvPicPr>
                      <a:picLocks noChangeAspect="1"/>
                    </pic:cNvPicPr>
                  </pic:nvPicPr>
                  <pic:blipFill>
                    <a:blip r:embed="rId10" cstate="print"/>
                    <a:stretch>
                      <a:fillRect/>
                    </a:stretch>
                  </pic:blipFill>
                  <pic:spPr>
                    <a:xfrm>
                      <a:off x="0" y="0"/>
                      <a:ext cx="5266690" cy="8310880"/>
                    </a:xfrm>
                    <a:prstGeom prst="rect">
                      <a:avLst/>
                    </a:prstGeom>
                  </pic:spPr>
                </pic:pic>
              </a:graphicData>
            </a:graphic>
          </wp:inline>
        </w:drawing>
      </w:r>
    </w:p>
    <w:p>
      <w:pPr>
        <w:spacing w:line="360" w:lineRule="auto"/>
        <w:jc w:val="center"/>
      </w:pPr>
      <w:r>
        <w:rPr>
          <w:lang w:eastAsia="zh-CN"/>
        </w:rPr>
        <w:drawing>
          <wp:inline distT="0" distB="0" distL="114300" distR="114300">
            <wp:extent cx="5544185" cy="2147570"/>
            <wp:effectExtent l="0" t="0" r="18415" b="5080"/>
            <wp:docPr id="2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pic:cNvPicPr>
                      <a:picLocks noChangeAspect="1"/>
                    </pic:cNvPicPr>
                  </pic:nvPicPr>
                  <pic:blipFill>
                    <a:blip r:embed="rId11" cstate="print"/>
                    <a:stretch>
                      <a:fillRect/>
                    </a:stretch>
                  </pic:blipFill>
                  <pic:spPr>
                    <a:xfrm>
                      <a:off x="0" y="0"/>
                      <a:ext cx="5544185" cy="2147570"/>
                    </a:xfrm>
                    <a:prstGeom prst="rect">
                      <a:avLst/>
                    </a:prstGeom>
                    <a:noFill/>
                    <a:ln>
                      <a:noFill/>
                    </a:ln>
                  </pic:spPr>
                </pic:pic>
              </a:graphicData>
            </a:graphic>
          </wp:inline>
        </w:drawing>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lang w:eastAsia="zh-CN"/>
        </w:rPr>
        <w:drawing>
          <wp:inline distT="0" distB="0" distL="114300" distR="114300">
            <wp:extent cx="5544185" cy="2894965"/>
            <wp:effectExtent l="0" t="0" r="18415" b="635"/>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12" cstate="print"/>
                    <a:stretch>
                      <a:fillRect/>
                    </a:stretch>
                  </pic:blipFill>
                  <pic:spPr>
                    <a:xfrm>
                      <a:off x="0" y="0"/>
                      <a:ext cx="5544185" cy="2894965"/>
                    </a:xfrm>
                    <a:prstGeom prst="rect">
                      <a:avLst/>
                    </a:prstGeom>
                    <a:noFill/>
                    <a:ln>
                      <a:noFill/>
                    </a:ln>
                  </pic:spPr>
                </pic:pic>
              </a:graphicData>
            </a:graphic>
          </wp:inline>
        </w:drawing>
      </w:r>
    </w:p>
    <w:p>
      <w:pPr>
        <w:spacing w:line="360" w:lineRule="auto"/>
      </w:pPr>
    </w:p>
    <w:p>
      <w:pPr>
        <w:spacing w:line="360" w:lineRule="auto"/>
      </w:pPr>
    </w:p>
    <w:p>
      <w:pPr>
        <w:spacing w:line="360" w:lineRule="auto"/>
        <w:rPr>
          <w:color w:val="auto"/>
        </w:rPr>
      </w:pPr>
    </w:p>
    <w:p>
      <w:pPr>
        <w:spacing w:line="360" w:lineRule="auto"/>
        <w:jc w:val="center"/>
        <w:rPr>
          <w:color w:val="auto"/>
        </w:rPr>
      </w:pPr>
      <w:r>
        <w:rPr>
          <w:lang w:eastAsia="zh-CN"/>
        </w:rPr>
        <w:drawing>
          <wp:inline distT="0" distB="0" distL="114300" distR="114300">
            <wp:extent cx="5544185" cy="4244340"/>
            <wp:effectExtent l="0" t="0" r="18415" b="3810"/>
            <wp:docPr id="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pic:cNvPicPr>
                      <a:picLocks noChangeAspect="1"/>
                    </pic:cNvPicPr>
                  </pic:nvPicPr>
                  <pic:blipFill>
                    <a:blip r:embed="rId13" cstate="print"/>
                    <a:stretch>
                      <a:fillRect/>
                    </a:stretch>
                  </pic:blipFill>
                  <pic:spPr>
                    <a:xfrm>
                      <a:off x="0" y="0"/>
                      <a:ext cx="5544185" cy="4244340"/>
                    </a:xfrm>
                    <a:prstGeom prst="rect">
                      <a:avLst/>
                    </a:prstGeom>
                    <a:noFill/>
                    <a:ln>
                      <a:noFill/>
                    </a:ln>
                  </pic:spPr>
                </pic:pic>
              </a:graphicData>
            </a:graphic>
          </wp:inline>
        </w:drawing>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r>
        <w:rPr>
          <w:lang w:eastAsia="zh-CN"/>
        </w:rPr>
        <w:drawing>
          <wp:inline distT="0" distB="0" distL="114300" distR="114300">
            <wp:extent cx="5544185" cy="3135630"/>
            <wp:effectExtent l="0" t="0" r="18415" b="7620"/>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14" cstate="print"/>
                    <a:stretch>
                      <a:fillRect/>
                    </a:stretch>
                  </pic:blipFill>
                  <pic:spPr>
                    <a:xfrm>
                      <a:off x="0" y="0"/>
                      <a:ext cx="5544185" cy="3135630"/>
                    </a:xfrm>
                    <a:prstGeom prst="rect">
                      <a:avLst/>
                    </a:prstGeom>
                    <a:noFill/>
                    <a:ln>
                      <a:noFill/>
                    </a:ln>
                  </pic:spPr>
                </pic:pic>
              </a:graphicData>
            </a:graphic>
          </wp:inline>
        </w:drawing>
      </w:r>
    </w:p>
    <w:p>
      <w:pPr>
        <w:spacing w:line="360" w:lineRule="auto"/>
        <w:rPr>
          <w:color w:val="auto"/>
        </w:rPr>
      </w:pPr>
    </w:p>
    <w:p>
      <w:pPr>
        <w:spacing w:line="600" w:lineRule="exact"/>
        <w:jc w:val="both"/>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第三部分  202</w:t>
      </w:r>
      <w:r>
        <w:rPr>
          <w:rFonts w:hint="eastAsia" w:ascii="方正小标宋简体" w:hAnsi="方正小标宋简体" w:eastAsia="方正小标宋简体" w:cs="方正小标宋简体"/>
          <w:bCs/>
          <w:color w:val="auto"/>
          <w:sz w:val="44"/>
          <w:szCs w:val="44"/>
          <w:lang w:eastAsia="zh-CN"/>
        </w:rPr>
        <w:t>2</w:t>
      </w:r>
      <w:r>
        <w:rPr>
          <w:rFonts w:hint="eastAsia" w:ascii="方正小标宋简体" w:hAnsi="方正小标宋简体" w:eastAsia="方正小标宋简体" w:cs="方正小标宋简体"/>
          <w:bCs/>
          <w:color w:val="auto"/>
          <w:sz w:val="44"/>
          <w:szCs w:val="44"/>
        </w:rPr>
        <w:t>年度</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决算情况说明</w:t>
      </w:r>
    </w:p>
    <w:p>
      <w:pPr>
        <w:ind w:firstLine="630"/>
        <w:rPr>
          <w:rFonts w:ascii="仿宋_GB2312" w:hAnsi="仿宋_GB2312" w:eastAsia="仿宋_GB2312"/>
          <w:color w:val="auto"/>
          <w:sz w:val="32"/>
          <w:szCs w:val="32"/>
        </w:rPr>
      </w:pP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一、收入决算情况说明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年度收入总计 </w:t>
      </w:r>
      <w:r>
        <w:rPr>
          <w:rFonts w:hint="eastAsia" w:ascii="仿宋_GB2312" w:hAnsi="仿宋_GB2312" w:eastAsia="仿宋_GB2312"/>
          <w:color w:val="auto"/>
          <w:sz w:val="32"/>
          <w:szCs w:val="32"/>
          <w:lang w:eastAsia="zh-CN"/>
        </w:rPr>
        <w:t>934.73</w:t>
      </w:r>
      <w:r>
        <w:rPr>
          <w:rFonts w:hint="eastAsia" w:ascii="仿宋_GB2312" w:hAnsi="仿宋_GB2312" w:eastAsia="仿宋_GB2312"/>
          <w:color w:val="auto"/>
          <w:sz w:val="32"/>
          <w:szCs w:val="32"/>
        </w:rPr>
        <w:t xml:space="preserve"> 万元，其中年初结转和结余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w:t>
      </w:r>
      <w:r>
        <w:rPr>
          <w:rFonts w:hint="eastAsia" w:ascii="仿宋_GB2312" w:hAnsi="仿宋_GB2312" w:eastAsia="仿宋_GB2312"/>
          <w:color w:val="auto"/>
          <w:sz w:val="32"/>
          <w:szCs w:val="32"/>
          <w:lang w:eastAsia="zh-CN"/>
        </w:rPr>
        <w:t>增加</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231.33</w:t>
      </w:r>
      <w:r>
        <w:rPr>
          <w:rFonts w:hint="eastAsia" w:ascii="仿宋_GB2312" w:hAnsi="仿宋_GB2312" w:eastAsia="仿宋_GB2312"/>
          <w:color w:val="auto"/>
          <w:sz w:val="32"/>
          <w:szCs w:val="32"/>
        </w:rPr>
        <w:t>万元，</w:t>
      </w:r>
      <w:r>
        <w:rPr>
          <w:rFonts w:hint="eastAsia" w:ascii="仿宋_GB2312" w:hAnsi="仿宋_GB2312" w:eastAsia="仿宋_GB2312"/>
          <w:color w:val="auto"/>
          <w:sz w:val="32"/>
          <w:szCs w:val="32"/>
          <w:lang w:eastAsia="zh-CN"/>
        </w:rPr>
        <w:t>增长32.88</w:t>
      </w:r>
      <w:r>
        <w:rPr>
          <w:rFonts w:hint="eastAsia" w:ascii="仿宋_GB2312" w:hAnsi="仿宋_GB2312" w:eastAsia="仿宋_GB2312"/>
          <w:color w:val="auto"/>
          <w:sz w:val="32"/>
          <w:szCs w:val="32"/>
        </w:rPr>
        <w:t xml:space="preserve"> %；本年收入合计 </w:t>
      </w:r>
      <w:r>
        <w:rPr>
          <w:rFonts w:hint="eastAsia" w:ascii="仿宋_GB2312" w:hAnsi="仿宋_GB2312" w:eastAsia="仿宋_GB2312"/>
          <w:color w:val="auto"/>
          <w:sz w:val="32"/>
          <w:szCs w:val="32"/>
          <w:lang w:eastAsia="zh-CN"/>
        </w:rPr>
        <w:t>934.73</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w:t>
      </w:r>
      <w:r>
        <w:rPr>
          <w:rFonts w:hint="eastAsia" w:ascii="仿宋_GB2312" w:hAnsi="仿宋_GB2312" w:eastAsia="仿宋_GB2312"/>
          <w:color w:val="auto"/>
          <w:sz w:val="32"/>
          <w:szCs w:val="32"/>
          <w:lang w:eastAsia="zh-CN"/>
        </w:rPr>
        <w:t>增加</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231.33</w:t>
      </w:r>
      <w:r>
        <w:rPr>
          <w:rFonts w:hint="eastAsia" w:ascii="仿宋_GB2312" w:hAnsi="仿宋_GB2312" w:eastAsia="仿宋_GB2312"/>
          <w:color w:val="auto"/>
          <w:sz w:val="32"/>
          <w:szCs w:val="32"/>
        </w:rPr>
        <w:t>万元，</w:t>
      </w:r>
      <w:r>
        <w:rPr>
          <w:rFonts w:hint="eastAsia" w:ascii="仿宋_GB2312" w:hAnsi="仿宋_GB2312" w:eastAsia="仿宋_GB2312"/>
          <w:color w:val="auto"/>
          <w:sz w:val="32"/>
          <w:szCs w:val="32"/>
          <w:lang w:eastAsia="zh-CN"/>
        </w:rPr>
        <w:t>增长</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32.88</w:t>
      </w:r>
      <w:r>
        <w:rPr>
          <w:rFonts w:hint="eastAsia" w:ascii="仿宋_GB2312" w:hAnsi="仿宋_GB2312" w:eastAsia="仿宋_GB2312"/>
          <w:color w:val="auto"/>
          <w:sz w:val="32"/>
          <w:szCs w:val="32"/>
        </w:rPr>
        <w:t xml:space="preserve"> %，主要原因是：</w:t>
      </w:r>
      <w:r>
        <w:rPr>
          <w:rFonts w:hint="eastAsia" w:ascii="仿宋" w:hAnsi="仿宋" w:eastAsia="仿宋"/>
          <w:sz w:val="30"/>
          <w:szCs w:val="30"/>
          <w:lang w:eastAsia="zh-CN"/>
        </w:rPr>
        <w:t>卫生健康支出增加</w:t>
      </w:r>
      <w:r>
        <w:rPr>
          <w:rFonts w:hint="eastAsia" w:ascii="仿宋" w:hAnsi="仿宋" w:eastAsia="仿宋"/>
          <w:sz w:val="30"/>
          <w:szCs w:val="30"/>
        </w:rPr>
        <w:t>。</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本年收入的具体构成为：财政拨款收入 </w:t>
      </w:r>
      <w:r>
        <w:rPr>
          <w:rFonts w:hint="eastAsia" w:ascii="仿宋_GB2312" w:hAnsi="仿宋_GB2312" w:eastAsia="仿宋_GB2312"/>
          <w:color w:val="auto"/>
          <w:sz w:val="32"/>
          <w:szCs w:val="32"/>
          <w:lang w:eastAsia="zh-CN"/>
        </w:rPr>
        <w:t>609.96</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65.26</w:t>
      </w:r>
      <w:r>
        <w:rPr>
          <w:rFonts w:hint="eastAsia" w:ascii="仿宋_GB2312" w:hAnsi="仿宋_GB2312" w:eastAsia="仿宋_GB2312"/>
          <w:color w:val="auto"/>
          <w:sz w:val="32"/>
          <w:szCs w:val="32"/>
        </w:rPr>
        <w:t xml:space="preserve"> %；事业收入  </w:t>
      </w:r>
      <w:r>
        <w:rPr>
          <w:rFonts w:hint="eastAsia" w:ascii="仿宋_GB2312" w:hAnsi="仿宋_GB2312" w:eastAsia="仿宋_GB2312"/>
          <w:color w:val="auto"/>
          <w:sz w:val="32"/>
          <w:szCs w:val="32"/>
          <w:lang w:eastAsia="zh-CN"/>
        </w:rPr>
        <w:t>324.77</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34.74</w:t>
      </w:r>
      <w:r>
        <w:rPr>
          <w:rFonts w:hint="eastAsia" w:ascii="仿宋_GB2312" w:hAnsi="仿宋_GB2312" w:eastAsia="仿宋_GB2312"/>
          <w:color w:val="auto"/>
          <w:sz w:val="32"/>
          <w:szCs w:val="32"/>
        </w:rPr>
        <w:t xml:space="preserve"> %。  </w:t>
      </w: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二、支出决算情况说明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年度支出总计  </w:t>
      </w:r>
      <w:r>
        <w:rPr>
          <w:rFonts w:hint="eastAsia" w:ascii="仿宋_GB2312" w:hAnsi="仿宋_GB2312" w:eastAsia="仿宋_GB2312"/>
          <w:color w:val="auto"/>
          <w:sz w:val="32"/>
          <w:szCs w:val="32"/>
          <w:lang w:eastAsia="zh-CN"/>
        </w:rPr>
        <w:t>934.73</w:t>
      </w:r>
      <w:r>
        <w:rPr>
          <w:rFonts w:hint="eastAsia" w:ascii="仿宋_GB2312" w:hAnsi="仿宋_GB2312" w:eastAsia="仿宋_GB2312"/>
          <w:color w:val="auto"/>
          <w:sz w:val="32"/>
          <w:szCs w:val="32"/>
        </w:rPr>
        <w:t xml:space="preserve">   万元，其中本年支出合计  </w:t>
      </w:r>
      <w:r>
        <w:rPr>
          <w:rFonts w:hint="eastAsia" w:ascii="仿宋_GB2312" w:hAnsi="仿宋_GB2312" w:eastAsia="仿宋_GB2312"/>
          <w:color w:val="auto"/>
          <w:sz w:val="32"/>
          <w:szCs w:val="32"/>
          <w:lang w:eastAsia="zh-CN"/>
        </w:rPr>
        <w:t>934.73</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年增加 </w:t>
      </w:r>
      <w:r>
        <w:rPr>
          <w:rFonts w:hint="eastAsia" w:ascii="仿宋_GB2312" w:hAnsi="仿宋_GB2312" w:eastAsia="仿宋_GB2312"/>
          <w:color w:val="auto"/>
          <w:sz w:val="32"/>
          <w:szCs w:val="32"/>
          <w:lang w:eastAsia="zh-CN"/>
        </w:rPr>
        <w:t>231.33</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32.88</w:t>
      </w:r>
      <w:r>
        <w:rPr>
          <w:rFonts w:hint="eastAsia" w:ascii="仿宋_GB2312" w:hAnsi="仿宋_GB2312" w:eastAsia="仿宋_GB2312"/>
          <w:color w:val="auto"/>
          <w:sz w:val="32"/>
          <w:szCs w:val="32"/>
        </w:rPr>
        <w:t xml:space="preserve"> %，主要原因是：</w:t>
      </w:r>
      <w:r>
        <w:rPr>
          <w:rFonts w:hint="eastAsia" w:ascii="仿宋" w:hAnsi="仿宋" w:eastAsia="仿宋"/>
          <w:sz w:val="30"/>
          <w:szCs w:val="30"/>
          <w:lang w:eastAsia="zh-CN"/>
        </w:rPr>
        <w:t>卫生健康支出增加</w:t>
      </w:r>
      <w:r>
        <w:rPr>
          <w:rFonts w:hint="eastAsia" w:ascii="仿宋_GB2312" w:hAnsi="仿宋_GB2312" w:eastAsia="仿宋_GB2312"/>
          <w:color w:val="auto"/>
          <w:sz w:val="32"/>
          <w:szCs w:val="32"/>
        </w:rPr>
        <w:t xml:space="preserve">；年末结转和结余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本年支出的具体构成为：基本支出 </w:t>
      </w:r>
      <w:r>
        <w:rPr>
          <w:rFonts w:hint="eastAsia" w:ascii="仿宋_GB2312" w:hAnsi="仿宋_GB2312" w:eastAsia="仿宋_GB2312"/>
          <w:color w:val="auto"/>
          <w:sz w:val="32"/>
          <w:szCs w:val="32"/>
          <w:lang w:eastAsia="zh-CN"/>
        </w:rPr>
        <w:t>934.73</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100</w:t>
      </w:r>
      <w:r>
        <w:rPr>
          <w:rFonts w:hint="eastAsia" w:ascii="仿宋_GB2312" w:hAnsi="仿宋_GB2312" w:eastAsia="仿宋_GB2312"/>
          <w:color w:val="auto"/>
          <w:sz w:val="32"/>
          <w:szCs w:val="32"/>
        </w:rPr>
        <w:t xml:space="preserve">%；项目支出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%；经营支出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%；其他支出（对附属单位补助支出、上缴上级支出）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万元，占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w:t>
      </w: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三、财政拨款支出决算情况说明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年度财政拨款本年支出年初预算数为 </w:t>
      </w:r>
      <w:r>
        <w:rPr>
          <w:rFonts w:hint="eastAsia" w:ascii="仿宋_GB2312" w:hAnsi="仿宋_GB2312" w:eastAsia="仿宋_GB2312"/>
          <w:color w:val="auto"/>
          <w:sz w:val="32"/>
          <w:szCs w:val="32"/>
          <w:lang w:eastAsia="zh-CN"/>
        </w:rPr>
        <w:t>307.08</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609.96</w:t>
      </w:r>
      <w:r>
        <w:rPr>
          <w:rFonts w:hint="eastAsia" w:ascii="仿宋_GB2312" w:hAnsi="仿宋_GB2312" w:eastAsia="仿宋_GB2312"/>
          <w:color w:val="auto"/>
          <w:sz w:val="32"/>
          <w:szCs w:val="32"/>
        </w:rPr>
        <w:t xml:space="preserve">  万元，完成年初预算的</w:t>
      </w:r>
      <w:r>
        <w:rPr>
          <w:rFonts w:hint="eastAsia" w:ascii="仿宋_GB2312" w:hAnsi="仿宋_GB2312" w:eastAsia="仿宋_GB2312"/>
          <w:color w:val="auto"/>
          <w:sz w:val="32"/>
          <w:szCs w:val="32"/>
          <w:lang w:eastAsia="zh-CN"/>
        </w:rPr>
        <w:t>198.63</w:t>
      </w:r>
      <w:r>
        <w:rPr>
          <w:rFonts w:hint="eastAsia" w:ascii="仿宋_GB2312" w:hAnsi="仿宋_GB2312" w:eastAsia="仿宋_GB2312"/>
          <w:color w:val="auto"/>
          <w:sz w:val="32"/>
          <w:szCs w:val="32"/>
        </w:rPr>
        <w:t xml:space="preserve"> %。其中：</w:t>
      </w:r>
    </w:p>
    <w:p>
      <w:pPr>
        <w:spacing w:line="600" w:lineRule="exact"/>
        <w:ind w:firstLine="640" w:firstLineChars="200"/>
        <w:jc w:val="both"/>
        <w:rPr>
          <w:rFonts w:ascii="仿宋_GB2312" w:hAnsi="仿宋_GB2312" w:eastAsia="仿宋_GB2312"/>
          <w:color w:val="auto"/>
          <w:sz w:val="32"/>
          <w:szCs w:val="32"/>
        </w:rPr>
      </w:pPr>
      <w:r>
        <w:rPr>
          <w:rFonts w:hint="eastAsia" w:ascii="仿宋_GB2312" w:hAnsi="仿宋_GB2312" w:eastAsia="仿宋_GB2312"/>
          <w:color w:val="auto"/>
          <w:sz w:val="32"/>
          <w:szCs w:val="32"/>
          <w:lang w:eastAsia="zh-CN"/>
        </w:rPr>
        <w:t>（一）</w:t>
      </w:r>
      <w:r>
        <w:rPr>
          <w:rFonts w:hint="eastAsia" w:ascii="仿宋" w:hAnsi="仿宋" w:eastAsia="仿宋"/>
          <w:sz w:val="32"/>
          <w:szCs w:val="32"/>
        </w:rPr>
        <w:t>社会保障和就业</w:t>
      </w:r>
      <w:r>
        <w:rPr>
          <w:rFonts w:hint="eastAsia" w:ascii="仿宋_GB2312" w:hAnsi="仿宋_GB2312" w:eastAsia="仿宋_GB2312"/>
          <w:color w:val="auto"/>
          <w:sz w:val="32"/>
          <w:szCs w:val="32"/>
          <w:lang w:eastAsia="zh-CN"/>
        </w:rPr>
        <w:t>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eastAsia="zh-CN"/>
        </w:rPr>
        <w:t>48.33</w:t>
      </w:r>
      <w:r>
        <w:rPr>
          <w:rFonts w:hint="eastAsia" w:ascii="仿宋_GB2312" w:hAnsi="仿宋_GB2312" w:eastAsia="仿宋_GB2312"/>
          <w:color w:val="auto"/>
          <w:sz w:val="32"/>
          <w:szCs w:val="32"/>
        </w:rPr>
        <w:t xml:space="preserve">  万元，预算数为 </w:t>
      </w:r>
      <w:r>
        <w:rPr>
          <w:rFonts w:hint="eastAsia" w:ascii="仿宋_GB2312" w:hAnsi="仿宋_GB2312" w:eastAsia="仿宋_GB2312"/>
          <w:color w:val="auto"/>
          <w:sz w:val="32"/>
          <w:szCs w:val="32"/>
          <w:lang w:eastAsia="zh-CN"/>
        </w:rPr>
        <w:t>48.33</w:t>
      </w:r>
      <w:r>
        <w:rPr>
          <w:rFonts w:hint="eastAsia" w:ascii="仿宋_GB2312" w:hAnsi="仿宋_GB2312" w:eastAsia="仿宋_GB2312"/>
          <w:color w:val="auto"/>
          <w:sz w:val="32"/>
          <w:szCs w:val="32"/>
        </w:rPr>
        <w:t xml:space="preserve"> 万元，完成年初预算的 </w:t>
      </w:r>
      <w:r>
        <w:rPr>
          <w:rFonts w:hint="eastAsia" w:ascii="仿宋_GB2312" w:hAnsi="仿宋_GB2312" w:eastAsia="仿宋_GB2312"/>
          <w:color w:val="auto"/>
          <w:sz w:val="32"/>
          <w:szCs w:val="32"/>
          <w:lang w:eastAsia="zh-CN"/>
        </w:rPr>
        <w:t>100</w:t>
      </w:r>
      <w:r>
        <w:rPr>
          <w:rFonts w:hint="eastAsia" w:ascii="仿宋_GB2312" w:hAnsi="仿宋_GB2312" w:eastAsia="仿宋_GB2312"/>
          <w:color w:val="auto"/>
          <w:sz w:val="32"/>
          <w:szCs w:val="32"/>
        </w:rPr>
        <w:t xml:space="preserve"> %，主要原因是：预算</w:t>
      </w:r>
      <w:r>
        <w:rPr>
          <w:rFonts w:hint="eastAsia" w:ascii="仿宋_GB2312" w:hAnsi="仿宋_GB2312" w:eastAsia="仿宋_GB2312"/>
          <w:color w:val="auto"/>
          <w:sz w:val="32"/>
          <w:szCs w:val="32"/>
          <w:lang w:eastAsia="zh-CN"/>
        </w:rPr>
        <w:t>与决</w:t>
      </w:r>
      <w:r>
        <w:rPr>
          <w:rFonts w:hint="eastAsia" w:ascii="仿宋_GB2312" w:hAnsi="仿宋_GB2312" w:eastAsia="仿宋_GB2312"/>
          <w:color w:val="auto"/>
          <w:sz w:val="32"/>
          <w:szCs w:val="32"/>
        </w:rPr>
        <w:t>算</w:t>
      </w:r>
      <w:r>
        <w:rPr>
          <w:rFonts w:hint="eastAsia" w:ascii="仿宋_GB2312" w:hAnsi="仿宋_GB2312" w:eastAsia="仿宋_GB2312"/>
          <w:color w:val="auto"/>
          <w:sz w:val="32"/>
          <w:szCs w:val="32"/>
          <w:lang w:eastAsia="zh-CN"/>
        </w:rPr>
        <w:t>一致</w:t>
      </w:r>
      <w:r>
        <w:rPr>
          <w:rFonts w:hint="eastAsia" w:ascii="仿宋_GB2312" w:hAnsi="仿宋_GB2312" w:eastAsia="仿宋_GB2312"/>
          <w:color w:val="auto"/>
          <w:sz w:val="32"/>
          <w:szCs w:val="32"/>
        </w:rPr>
        <w:t>。</w:t>
      </w:r>
    </w:p>
    <w:p>
      <w:pPr>
        <w:spacing w:line="600" w:lineRule="exact"/>
        <w:ind w:firstLine="640" w:firstLineChars="200"/>
        <w:jc w:val="both"/>
        <w:rPr>
          <w:rFonts w:ascii="仿宋_GB2312" w:hAnsi="仿宋_GB2312" w:eastAsia="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 w:hAnsi="仿宋" w:eastAsia="仿宋"/>
          <w:sz w:val="32"/>
          <w:szCs w:val="32"/>
        </w:rPr>
        <w:t>住房保</w:t>
      </w:r>
      <w:r>
        <w:rPr>
          <w:rFonts w:hint="eastAsia" w:ascii="仿宋" w:hAnsi="仿宋" w:eastAsia="仿宋"/>
          <w:sz w:val="32"/>
          <w:szCs w:val="32"/>
          <w:lang w:eastAsia="zh-CN"/>
        </w:rPr>
        <w:t>障</w:t>
      </w:r>
      <w:r>
        <w:rPr>
          <w:rFonts w:hint="eastAsia" w:ascii="仿宋" w:hAnsi="仿宋" w:eastAsia="仿宋"/>
          <w:sz w:val="32"/>
          <w:szCs w:val="32"/>
        </w:rPr>
        <w:t>支出</w:t>
      </w:r>
      <w:r>
        <w:rPr>
          <w:rFonts w:hint="eastAsia" w:ascii="仿宋_GB2312" w:hAnsi="仿宋_GB2312" w:eastAsia="仿宋_GB2312"/>
          <w:color w:val="auto"/>
          <w:sz w:val="32"/>
          <w:szCs w:val="32"/>
        </w:rPr>
        <w:t xml:space="preserve">年初预算数为 </w:t>
      </w:r>
      <w:r>
        <w:rPr>
          <w:rFonts w:hint="eastAsia" w:ascii="仿宋_GB2312" w:hAnsi="仿宋_GB2312" w:eastAsia="仿宋_GB2312"/>
          <w:color w:val="auto"/>
          <w:sz w:val="32"/>
          <w:szCs w:val="32"/>
          <w:lang w:eastAsia="zh-CN"/>
        </w:rPr>
        <w:t>24.16</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24.16</w:t>
      </w:r>
      <w:r>
        <w:rPr>
          <w:rFonts w:hint="eastAsia" w:ascii="仿宋_GB2312" w:hAnsi="仿宋_GB2312" w:eastAsia="仿宋_GB2312"/>
          <w:color w:val="auto"/>
          <w:sz w:val="32"/>
          <w:szCs w:val="32"/>
        </w:rPr>
        <w:t xml:space="preserve"> 万元，完成年初预算的 </w:t>
      </w:r>
      <w:r>
        <w:rPr>
          <w:rFonts w:hint="eastAsia" w:ascii="仿宋_GB2312" w:hAnsi="仿宋_GB2312" w:eastAsia="仿宋_GB2312"/>
          <w:color w:val="auto"/>
          <w:sz w:val="32"/>
          <w:szCs w:val="32"/>
          <w:lang w:eastAsia="zh-CN"/>
        </w:rPr>
        <w:t>100</w:t>
      </w:r>
      <w:r>
        <w:rPr>
          <w:rFonts w:hint="eastAsia" w:ascii="仿宋_GB2312" w:hAnsi="仿宋_GB2312" w:eastAsia="仿宋_GB2312"/>
          <w:color w:val="auto"/>
          <w:sz w:val="32"/>
          <w:szCs w:val="32"/>
        </w:rPr>
        <w:t xml:space="preserve"> %，主要原因是：预算</w:t>
      </w:r>
      <w:r>
        <w:rPr>
          <w:rFonts w:hint="eastAsia" w:ascii="仿宋_GB2312" w:hAnsi="仿宋_GB2312" w:eastAsia="仿宋_GB2312"/>
          <w:color w:val="auto"/>
          <w:sz w:val="32"/>
          <w:szCs w:val="32"/>
          <w:lang w:eastAsia="zh-CN"/>
        </w:rPr>
        <w:t>与决</w:t>
      </w:r>
      <w:r>
        <w:rPr>
          <w:rFonts w:hint="eastAsia" w:ascii="仿宋_GB2312" w:hAnsi="仿宋_GB2312" w:eastAsia="仿宋_GB2312"/>
          <w:color w:val="auto"/>
          <w:sz w:val="32"/>
          <w:szCs w:val="32"/>
        </w:rPr>
        <w:t>算</w:t>
      </w:r>
      <w:r>
        <w:rPr>
          <w:rFonts w:hint="eastAsia" w:ascii="仿宋_GB2312" w:hAnsi="仿宋_GB2312" w:eastAsia="仿宋_GB2312"/>
          <w:color w:val="auto"/>
          <w:sz w:val="32"/>
          <w:szCs w:val="32"/>
          <w:lang w:eastAsia="zh-CN"/>
        </w:rPr>
        <w:t>一致</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lang w:eastAsia="zh-CN"/>
        </w:rPr>
      </w:pPr>
      <w:r>
        <w:rPr>
          <w:rFonts w:hint="eastAsia" w:ascii="仿宋" w:hAnsi="仿宋" w:eastAsia="仿宋"/>
          <w:sz w:val="32"/>
          <w:szCs w:val="32"/>
          <w:lang w:eastAsia="zh-CN"/>
        </w:rPr>
        <w:t>（三）</w:t>
      </w:r>
      <w:r>
        <w:rPr>
          <w:rFonts w:hint="eastAsia" w:ascii="仿宋_GB2312" w:hAnsi="仿宋_GB2312" w:eastAsia="仿宋_GB2312"/>
          <w:color w:val="auto"/>
          <w:sz w:val="32"/>
          <w:szCs w:val="32"/>
        </w:rPr>
        <w:t xml:space="preserve"> </w:t>
      </w:r>
      <w:r>
        <w:rPr>
          <w:rFonts w:hint="eastAsia" w:ascii="仿宋" w:hAnsi="仿宋" w:eastAsia="仿宋"/>
          <w:sz w:val="32"/>
          <w:szCs w:val="32"/>
        </w:rPr>
        <w:t>卫生健康支出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eastAsia="zh-CN"/>
        </w:rPr>
        <w:t>234.59</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537.47</w:t>
      </w:r>
      <w:r>
        <w:rPr>
          <w:rFonts w:hint="eastAsia" w:ascii="仿宋_GB2312" w:hAnsi="仿宋_GB2312" w:eastAsia="仿宋_GB2312"/>
          <w:color w:val="auto"/>
          <w:sz w:val="32"/>
          <w:szCs w:val="32"/>
        </w:rPr>
        <w:t xml:space="preserve"> 万元，完成年初预算的 </w:t>
      </w:r>
      <w:r>
        <w:rPr>
          <w:rFonts w:hint="eastAsia" w:ascii="仿宋_GB2312" w:hAnsi="仿宋_GB2312" w:eastAsia="仿宋_GB2312"/>
          <w:color w:val="auto"/>
          <w:sz w:val="32"/>
          <w:szCs w:val="32"/>
          <w:lang w:eastAsia="zh-CN"/>
        </w:rPr>
        <w:t>229.11</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eastAsia="zh-CN"/>
        </w:rPr>
        <w:t>财政拨款增加。</w:t>
      </w:r>
    </w:p>
    <w:p>
      <w:pPr>
        <w:spacing w:line="600" w:lineRule="exact"/>
        <w:ind w:firstLine="585"/>
        <w:jc w:val="both"/>
        <w:rPr>
          <w:rFonts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spacing w:line="600" w:lineRule="exact"/>
        <w:ind w:firstLine="585"/>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 xml:space="preserve">年度一般公共预算财政拨款基本支出 </w:t>
      </w:r>
      <w:r>
        <w:rPr>
          <w:rFonts w:hint="eastAsia" w:ascii="仿宋_GB2312" w:hAnsi="仿宋_GB2312" w:eastAsia="仿宋_GB2312"/>
          <w:color w:val="auto"/>
          <w:sz w:val="32"/>
          <w:szCs w:val="32"/>
          <w:lang w:eastAsia="zh-CN"/>
        </w:rPr>
        <w:t>609.96</w:t>
      </w:r>
      <w:r>
        <w:rPr>
          <w:rFonts w:hint="eastAsia" w:ascii="仿宋_GB2312" w:hAnsi="仿宋_GB2312" w:eastAsia="仿宋_GB2312"/>
          <w:color w:val="auto"/>
          <w:sz w:val="32"/>
          <w:szCs w:val="32"/>
        </w:rPr>
        <w:t xml:space="preserve"> 万元，其中：</w:t>
      </w:r>
    </w:p>
    <w:p>
      <w:pPr>
        <w:spacing w:line="600" w:lineRule="exact"/>
        <w:ind w:firstLine="585"/>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（一）工资福利支出 </w:t>
      </w:r>
      <w:r>
        <w:rPr>
          <w:rFonts w:hint="eastAsia" w:ascii="仿宋_GB2312" w:hAnsi="仿宋_GB2312" w:eastAsia="仿宋_GB2312"/>
          <w:color w:val="auto"/>
          <w:sz w:val="32"/>
          <w:szCs w:val="32"/>
          <w:lang w:eastAsia="zh-CN"/>
        </w:rPr>
        <w:t>605.38</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205.09</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51.23</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eastAsia="zh-CN"/>
        </w:rPr>
        <w:t>人员工资增长</w:t>
      </w:r>
      <w:r>
        <w:rPr>
          <w:rFonts w:hint="eastAsia" w:ascii="仿宋_GB2312" w:hAnsi="仿宋_GB2312" w:eastAsia="仿宋_GB2312"/>
          <w:color w:val="auto"/>
          <w:sz w:val="32"/>
          <w:szCs w:val="32"/>
        </w:rPr>
        <w:t>。</w:t>
      </w:r>
    </w:p>
    <w:p>
      <w:pPr>
        <w:spacing w:line="600" w:lineRule="exact"/>
        <w:ind w:firstLine="585"/>
        <w:jc w:val="both"/>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rPr>
        <w:t xml:space="preserve">（二）商品和服务支出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年增加 </w:t>
      </w:r>
      <w:r>
        <w:rPr>
          <w:rFonts w:hint="eastAsia" w:ascii="仿宋_GB2312" w:hAnsi="仿宋_GB2312" w:eastAsia="仿宋_GB2312"/>
          <w:color w:val="auto"/>
          <w:sz w:val="32"/>
          <w:szCs w:val="32"/>
          <w:lang w:eastAsia="zh-CN"/>
        </w:rPr>
        <w:t xml:space="preserve">0 </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列入卫生健康支出。</w:t>
      </w:r>
    </w:p>
    <w:p>
      <w:pPr>
        <w:spacing w:line="600" w:lineRule="exact"/>
        <w:ind w:firstLine="585"/>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（三）对个人和家庭补助支出  </w:t>
      </w:r>
      <w:r>
        <w:rPr>
          <w:rFonts w:hint="eastAsia" w:ascii="仿宋_GB2312" w:hAnsi="仿宋_GB2312" w:eastAsia="仿宋_GB2312"/>
          <w:color w:val="auto"/>
          <w:sz w:val="32"/>
          <w:szCs w:val="32"/>
          <w:lang w:eastAsia="zh-CN"/>
        </w:rPr>
        <w:t>0.29</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0.29</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eastAsia="zh-CN"/>
        </w:rPr>
        <w:t>退休人员工资增长</w:t>
      </w:r>
      <w:r>
        <w:rPr>
          <w:rFonts w:hint="eastAsia" w:ascii="仿宋_GB2312" w:hAnsi="仿宋_GB2312" w:eastAsia="仿宋_GB2312"/>
          <w:color w:val="auto"/>
          <w:sz w:val="32"/>
          <w:szCs w:val="32"/>
        </w:rPr>
        <w:t>。</w:t>
      </w:r>
    </w:p>
    <w:p>
      <w:pPr>
        <w:spacing w:line="600" w:lineRule="exact"/>
        <w:ind w:firstLine="585"/>
        <w:jc w:val="both"/>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rPr>
        <w:t xml:space="preserve">（四）资本性支出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 xml:space="preserve">年增加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 xml:space="preserve"> </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列入卫生健康支出。</w:t>
      </w:r>
    </w:p>
    <w:p>
      <w:pPr>
        <w:spacing w:line="600" w:lineRule="exact"/>
        <w:ind w:firstLine="585"/>
        <w:jc w:val="both"/>
        <w:rPr>
          <w:rFonts w:ascii="仿宋_GB2312" w:hAnsi="仿宋_GB2312" w:eastAsia="仿宋_GB2312"/>
          <w:color w:val="auto"/>
          <w:sz w:val="32"/>
          <w:szCs w:val="32"/>
          <w:lang w:eastAsia="zh-CN"/>
        </w:rPr>
      </w:pP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7.45</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万元，增长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%，其中：</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lang w:eastAsia="zh-CN"/>
        </w:rPr>
        <w:t>全年安排因公出国（境）团组 0 个，累计 0 人次</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全年国内公务接待 0 批，累计接待 0 人次，其中外事接待 0  批，累计接待 0 人次</w:t>
      </w:r>
      <w:r>
        <w:rPr>
          <w:rFonts w:hint="eastAsia" w:ascii="仿宋_GB2312" w:hAnsi="仿宋_GB2312" w:eastAsia="仿宋_GB2312"/>
          <w:color w:val="auto"/>
          <w:sz w:val="32"/>
          <w:szCs w:val="32"/>
        </w:rPr>
        <w:t>。</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 xml:space="preserve">（三）公务用车购置及运行维护费支出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万元，其中公务用车购置</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，全年购置公务用车 0  辆</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万元，增长</w:t>
      </w:r>
      <w:r>
        <w:rPr>
          <w:rFonts w:hint="eastAsia" w:ascii="仿宋_GB2312" w:hAnsi="仿宋_GB2312" w:eastAsia="仿宋_GB2312"/>
          <w:color w:val="auto"/>
          <w:sz w:val="32"/>
          <w:szCs w:val="32"/>
          <w:lang w:eastAsia="zh-CN"/>
        </w:rPr>
        <w:t xml:space="preserve"> 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，年末公务用车保有 0 辆</w:t>
      </w:r>
      <w:r>
        <w:rPr>
          <w:rFonts w:hint="eastAsia" w:ascii="仿宋_GB2312" w:hAnsi="仿宋_GB2312" w:eastAsia="仿宋_GB2312"/>
          <w:color w:val="auto"/>
          <w:sz w:val="32"/>
          <w:szCs w:val="32"/>
        </w:rPr>
        <w:t>。</w:t>
      </w: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六、机关运行经费支出情况说明</w:t>
      </w:r>
    </w:p>
    <w:p>
      <w:pPr>
        <w:ind w:firstLine="630"/>
        <w:rPr>
          <w:rFonts w:ascii="仿宋" w:hAnsi="仿宋" w:eastAsia="仿宋"/>
          <w:sz w:val="30"/>
          <w:szCs w:val="30"/>
        </w:rPr>
      </w:pPr>
    </w:p>
    <w:p>
      <w:pPr>
        <w:ind w:firstLine="630"/>
        <w:rPr>
          <w:rFonts w:ascii="仿宋" w:hAnsi="仿宋" w:eastAsia="仿宋"/>
          <w:sz w:val="32"/>
          <w:szCs w:val="32"/>
        </w:rPr>
      </w:pPr>
      <w:r>
        <w:rPr>
          <w:rFonts w:hint="eastAsia" w:ascii="仿宋" w:hAnsi="仿宋" w:eastAsia="仿宋"/>
          <w:sz w:val="32"/>
          <w:szCs w:val="32"/>
        </w:rPr>
        <w:t xml:space="preserve">本部门2021年度无机关运行经费支出 </w:t>
      </w:r>
    </w:p>
    <w:p>
      <w:pPr>
        <w:spacing w:line="600" w:lineRule="exact"/>
        <w:ind w:firstLine="630"/>
        <w:jc w:val="both"/>
        <w:rPr>
          <w:rFonts w:ascii="黑体" w:hAnsi="黑体" w:eastAsia="黑体"/>
          <w:color w:val="auto"/>
          <w:sz w:val="32"/>
          <w:szCs w:val="32"/>
        </w:rPr>
      </w:pP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七、政府采购支出情况说明</w:t>
      </w:r>
    </w:p>
    <w:p>
      <w:pPr>
        <w:spacing w:line="600" w:lineRule="exact"/>
        <w:ind w:firstLine="630"/>
        <w:jc w:val="both"/>
        <w:rPr>
          <w:rFonts w:ascii="仿宋" w:hAnsi="仿宋" w:eastAsia="仿宋"/>
          <w:sz w:val="32"/>
          <w:szCs w:val="32"/>
        </w:rPr>
      </w:pPr>
      <w:r>
        <w:rPr>
          <w:rFonts w:hint="eastAsia" w:ascii="仿宋" w:hAnsi="仿宋" w:eastAsia="仿宋"/>
          <w:sz w:val="32"/>
          <w:szCs w:val="32"/>
        </w:rPr>
        <w:t>本单位2021年度无政府采购支出</w:t>
      </w:r>
    </w:p>
    <w:p>
      <w:pPr>
        <w:spacing w:line="600" w:lineRule="exact"/>
        <w:ind w:firstLine="630"/>
        <w:jc w:val="both"/>
        <w:rPr>
          <w:rFonts w:ascii="仿宋" w:hAnsi="仿宋" w:eastAsia="仿宋"/>
          <w:sz w:val="30"/>
          <w:szCs w:val="30"/>
        </w:rPr>
      </w:pPr>
    </w:p>
    <w:p>
      <w:pPr>
        <w:spacing w:line="600" w:lineRule="exact"/>
        <w:ind w:firstLine="630"/>
        <w:jc w:val="both"/>
        <w:rPr>
          <w:rFonts w:ascii="黑体" w:hAnsi="黑体" w:eastAsia="黑体"/>
          <w:color w:val="auto"/>
          <w:sz w:val="32"/>
          <w:szCs w:val="32"/>
        </w:rPr>
      </w:pPr>
      <w:r>
        <w:rPr>
          <w:rFonts w:hint="eastAsia" w:ascii="黑体" w:hAnsi="黑体" w:eastAsia="黑体"/>
          <w:color w:val="auto"/>
          <w:sz w:val="32"/>
          <w:szCs w:val="32"/>
        </w:rPr>
        <w:t>八、国有资产占用情况说明</w:t>
      </w:r>
    </w:p>
    <w:p>
      <w:pPr>
        <w:spacing w:line="600" w:lineRule="exact"/>
        <w:ind w:firstLine="630"/>
        <w:jc w:val="both"/>
        <w:rPr>
          <w:rFonts w:ascii="仿宋_GB2312" w:hAnsi="仿宋_GB2312" w:eastAsia="仿宋_GB2312"/>
          <w:color w:val="auto"/>
          <w:sz w:val="32"/>
          <w:szCs w:val="32"/>
        </w:rPr>
      </w:pPr>
      <w:r>
        <w:rPr>
          <w:rFonts w:hint="eastAsia" w:ascii="仿宋_GB2312" w:hAnsi="仿宋_GB2312" w:eastAsia="仿宋_GB2312"/>
          <w:color w:val="auto"/>
          <w:sz w:val="32"/>
          <w:szCs w:val="32"/>
        </w:rPr>
        <w:t>截止202</w:t>
      </w:r>
      <w:r>
        <w:rPr>
          <w:rFonts w:hint="eastAsia" w:ascii="仿宋_GB2312" w:hAnsi="仿宋_GB2312" w:eastAsia="仿宋_GB2312"/>
          <w:color w:val="auto"/>
          <w:sz w:val="32"/>
          <w:szCs w:val="32"/>
          <w:lang w:eastAsia="zh-CN"/>
        </w:rPr>
        <w:t>2</w:t>
      </w:r>
      <w:r>
        <w:rPr>
          <w:rFonts w:hint="eastAsia" w:ascii="仿宋_GB2312" w:hAnsi="仿宋_GB2312" w:eastAsia="仿宋_GB2312"/>
          <w:color w:val="auto"/>
          <w:sz w:val="32"/>
          <w:szCs w:val="32"/>
        </w:rPr>
        <w:t>年12月31日，本</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国有资产占用情况见</w:t>
      </w:r>
      <w:r>
        <w:rPr>
          <w:rFonts w:hint="eastAsia" w:ascii="仿宋_GB2312" w:hAnsi="仿宋_GB2312" w:eastAsia="仿宋_GB2312"/>
          <w:color w:val="auto"/>
          <w:sz w:val="32"/>
          <w:szCs w:val="32"/>
          <w:lang w:eastAsia="zh-CN"/>
        </w:rPr>
        <w:t>公开10</w:t>
      </w:r>
      <w:r>
        <w:rPr>
          <w:rFonts w:hint="eastAsia" w:ascii="仿宋_GB2312" w:hAnsi="仿宋_GB2312" w:eastAsia="仿宋_GB2312"/>
          <w:color w:val="auto"/>
          <w:sz w:val="32"/>
          <w:szCs w:val="32"/>
        </w:rPr>
        <w:t>表《国有资产占用情况表》。</w:t>
      </w:r>
    </w:p>
    <w:p>
      <w:pPr>
        <w:spacing w:line="600" w:lineRule="exact"/>
        <w:ind w:firstLine="640" w:firstLineChars="200"/>
        <w:jc w:val="both"/>
        <w:rPr>
          <w:rFonts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eastAsia="zh-CN"/>
        </w:rPr>
        <w:t>评价</w:t>
      </w:r>
      <w:r>
        <w:rPr>
          <w:rFonts w:hint="eastAsia" w:ascii="黑体" w:hAnsi="黑体" w:eastAsia="黑体"/>
          <w:color w:val="auto"/>
          <w:sz w:val="32"/>
          <w:szCs w:val="32"/>
        </w:rPr>
        <w:t>情况说明</w:t>
      </w:r>
    </w:p>
    <w:p>
      <w:pPr>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（一）绩效</w:t>
      </w:r>
      <w:r>
        <w:rPr>
          <w:rFonts w:hint="eastAsia" w:ascii="仿宋_GB2312" w:hAnsi="仿宋_GB2312" w:eastAsia="仿宋_GB2312" w:cs="仿宋_GB2312"/>
          <w:b/>
          <w:bCs/>
          <w:color w:val="FF0000"/>
          <w:sz w:val="32"/>
          <w:szCs w:val="32"/>
          <w:lang w:eastAsia="zh-CN"/>
        </w:rPr>
        <w:t>评价</w:t>
      </w:r>
      <w:r>
        <w:rPr>
          <w:rFonts w:hint="eastAsia" w:ascii="仿宋_GB2312" w:hAnsi="仿宋_GB2312" w:eastAsia="仿宋_GB2312" w:cs="仿宋_GB2312"/>
          <w:color w:val="auto"/>
          <w:sz w:val="32"/>
          <w:szCs w:val="32"/>
        </w:rPr>
        <w:t>工作开展情况。</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本单位未开展绩效自评。</w:t>
      </w:r>
    </w:p>
    <w:p>
      <w:pPr>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600" w:lineRule="exact"/>
        <w:ind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（二）单位</w:t>
      </w:r>
      <w:r>
        <w:rPr>
          <w:rFonts w:hint="eastAsia" w:ascii="仿宋_GB2312" w:hAnsi="仿宋_GB2312" w:eastAsia="仿宋_GB2312" w:cs="仿宋_GB2312"/>
          <w:color w:val="auto"/>
          <w:sz w:val="32"/>
          <w:szCs w:val="32"/>
        </w:rPr>
        <w:t>决算中项目绩效自评</w:t>
      </w:r>
      <w:r>
        <w:rPr>
          <w:rFonts w:hint="eastAsia" w:ascii="仿宋_GB2312" w:hAnsi="仿宋_GB2312" w:eastAsia="仿宋_GB2312" w:cs="仿宋_GB2312"/>
          <w:color w:val="auto"/>
          <w:sz w:val="32"/>
          <w:szCs w:val="32"/>
          <w:lang w:eastAsia="zh-CN"/>
        </w:rPr>
        <w:t>结果</w:t>
      </w:r>
      <w:r>
        <w:rPr>
          <w:rFonts w:hint="eastAsia" w:ascii="仿宋_GB2312" w:hAnsi="仿宋_GB2312" w:eastAsia="仿宋_GB2312" w:cs="仿宋_GB2312"/>
          <w:color w:val="auto"/>
          <w:sz w:val="32"/>
          <w:szCs w:val="32"/>
        </w:rPr>
        <w:t>。</w:t>
      </w:r>
    </w:p>
    <w:p>
      <w:pPr>
        <w:spacing w:line="360" w:lineRule="auto"/>
        <w:ind w:firstLine="600"/>
        <w:rPr>
          <w:rFonts w:ascii="仿宋" w:hAnsi="仿宋" w:eastAsia="仿宋" w:cs="仿宋_GB2312"/>
          <w:sz w:val="32"/>
          <w:szCs w:val="32"/>
        </w:rPr>
      </w:pPr>
      <w:r>
        <w:rPr>
          <w:rFonts w:hint="eastAsia" w:ascii="仿宋" w:hAnsi="仿宋" w:eastAsia="仿宋" w:cs="仿宋_GB2312"/>
          <w:sz w:val="32"/>
          <w:szCs w:val="32"/>
        </w:rPr>
        <w:t>本单位未开展绩效自评。</w:t>
      </w:r>
    </w:p>
    <w:p>
      <w:pPr>
        <w:spacing w:line="360" w:lineRule="auto"/>
        <w:ind w:firstLine="6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pacing w:line="600" w:lineRule="exact"/>
        <w:jc w:val="center"/>
        <w:rPr>
          <w:rFonts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第四部分</w:t>
      </w:r>
      <w:r>
        <w:rPr>
          <w:rFonts w:ascii="方正小标宋简体" w:hAnsi="方正小标宋简体" w:eastAsia="方正小标宋简体" w:cs="方正小标宋简体"/>
          <w:color w:val="auto"/>
          <w:sz w:val="44"/>
          <w:szCs w:val="44"/>
          <w:lang w:eastAsia="zh-CN"/>
        </w:rPr>
        <w:t xml:space="preserve">  </w:t>
      </w:r>
      <w:r>
        <w:rPr>
          <w:rFonts w:hint="eastAsia" w:ascii="方正小标宋简体" w:hAnsi="方正小标宋简体" w:eastAsia="方正小标宋简体" w:cs="方正小标宋简体"/>
          <w:color w:val="auto"/>
          <w:sz w:val="44"/>
          <w:szCs w:val="44"/>
          <w:lang w:eastAsia="zh-CN"/>
        </w:rPr>
        <w:t>名词解释</w:t>
      </w:r>
    </w:p>
    <w:p>
      <w:pPr>
        <w:spacing w:line="600" w:lineRule="exact"/>
        <w:jc w:val="center"/>
        <w:rPr>
          <w:rFonts w:ascii="方正小标宋简体" w:hAnsi="方正小标宋简体" w:eastAsia="方正小标宋简体" w:cs="方正小标宋简体"/>
          <w:color w:val="auto"/>
          <w:sz w:val="44"/>
          <w:szCs w:val="44"/>
          <w:lang w:eastAsia="zh-CN"/>
        </w:rPr>
      </w:pP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w:t>
      </w:r>
      <w:r>
        <w:rPr>
          <w:rFonts w:hint="eastAsia" w:ascii="仿宋" w:hAnsi="仿宋" w:eastAsia="仿宋" w:cs="方正小标宋简体"/>
          <w:color w:val="auto"/>
          <w:sz w:val="32"/>
          <w:szCs w:val="32"/>
          <w:lang w:eastAsia="zh-CN"/>
        </w:rPr>
        <w:t>、基本支出：是指预算单位为保障其机构正常运转、完成日常工作任务而需要发生的支出，包括人员经费和日常公用经费两部分。</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2</w:t>
      </w:r>
      <w:r>
        <w:rPr>
          <w:rFonts w:hint="eastAsia" w:ascii="仿宋" w:hAnsi="仿宋" w:eastAsia="仿宋" w:cs="方正小标宋简体"/>
          <w:color w:val="auto"/>
          <w:sz w:val="32"/>
          <w:szCs w:val="32"/>
          <w:lang w:eastAsia="zh-CN"/>
        </w:rPr>
        <w:t>、项目支出：是指预算单位在基本支出之外为完成其特定行政任务或事业发展目标所发生的支出。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3</w:t>
      </w:r>
      <w:r>
        <w:rPr>
          <w:rFonts w:hint="eastAsia" w:ascii="仿宋" w:hAnsi="仿宋" w:eastAsia="仿宋" w:cs="方正小标宋简体"/>
          <w:color w:val="auto"/>
          <w:sz w:val="32"/>
          <w:szCs w:val="32"/>
          <w:lang w:eastAsia="zh-CN"/>
        </w:rPr>
        <w:t>、财政拨款：指县级财政当年拨付的资金。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4</w:t>
      </w:r>
      <w:r>
        <w:rPr>
          <w:rFonts w:hint="eastAsia" w:ascii="仿宋" w:hAnsi="仿宋" w:eastAsia="仿宋" w:cs="方正小标宋简体"/>
          <w:color w:val="auto"/>
          <w:sz w:val="32"/>
          <w:szCs w:val="32"/>
          <w:lang w:eastAsia="zh-CN"/>
        </w:rPr>
        <w:t>、事业收入：指事业单位开展专业业务活动及辅助活动取得的收入。</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5</w:t>
      </w:r>
      <w:r>
        <w:rPr>
          <w:rFonts w:hint="eastAsia" w:ascii="仿宋" w:hAnsi="仿宋" w:eastAsia="仿宋" w:cs="方正小标宋简体"/>
          <w:color w:val="auto"/>
          <w:sz w:val="32"/>
          <w:szCs w:val="32"/>
          <w:lang w:eastAsia="zh-CN"/>
        </w:rPr>
        <w:t>、事业单位经营收入：指事业单位在专业业务活动及辅助活动之外开展非独立核算经营活动取得的收入。</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6</w:t>
      </w:r>
      <w:r>
        <w:rPr>
          <w:rFonts w:hint="eastAsia" w:ascii="仿宋" w:hAnsi="仿宋" w:eastAsia="仿宋" w:cs="方正小标宋简体"/>
          <w:color w:val="auto"/>
          <w:sz w:val="32"/>
          <w:szCs w:val="32"/>
          <w:lang w:eastAsia="zh-CN"/>
        </w:rPr>
        <w:t>、上年结转和结余：指以前年度滚存结转结余资金。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7</w:t>
      </w:r>
      <w:r>
        <w:rPr>
          <w:rFonts w:hint="eastAsia" w:ascii="仿宋" w:hAnsi="仿宋" w:eastAsia="仿宋" w:cs="方正小标宋简体"/>
          <w:color w:val="auto"/>
          <w:sz w:val="32"/>
          <w:szCs w:val="32"/>
          <w:lang w:eastAsia="zh-CN"/>
        </w:rPr>
        <w:t>、行政运行：反映行政单位（包括参公单位）的基本支出。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8</w:t>
      </w:r>
      <w:r>
        <w:rPr>
          <w:rFonts w:hint="eastAsia" w:ascii="仿宋" w:hAnsi="仿宋" w:eastAsia="仿宋" w:cs="方正小标宋简体"/>
          <w:color w:val="auto"/>
          <w:sz w:val="32"/>
          <w:szCs w:val="32"/>
          <w:lang w:eastAsia="zh-CN"/>
        </w:rPr>
        <w:t>、事业运行：反映事业单位的基本支出。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9</w:t>
      </w:r>
      <w:r>
        <w:rPr>
          <w:rFonts w:hint="eastAsia" w:ascii="仿宋" w:hAnsi="仿宋" w:eastAsia="仿宋" w:cs="方正小标宋简体"/>
          <w:color w:val="auto"/>
          <w:sz w:val="32"/>
          <w:szCs w:val="32"/>
          <w:lang w:eastAsia="zh-CN"/>
        </w:rPr>
        <w:t>、机关事业单位基本养老保险缴费支出：反映机关事业单位实施养老保险制度由单位缴纳的基本养老保险费支出。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10</w:t>
      </w:r>
      <w:r>
        <w:rPr>
          <w:rFonts w:hint="eastAsia" w:ascii="仿宋" w:hAnsi="仿宋" w:eastAsia="仿宋" w:cs="方正小标宋简体"/>
          <w:color w:val="auto"/>
          <w:sz w:val="32"/>
          <w:szCs w:val="32"/>
          <w:lang w:eastAsia="zh-CN"/>
        </w:rPr>
        <w:t>、机关事业单位职业年金缴费支出：反映机关事业单位实施养老保险制度由单位实际缴纳的职业年金支出。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11</w:t>
      </w:r>
      <w:r>
        <w:rPr>
          <w:rFonts w:hint="eastAsia" w:ascii="仿宋" w:hAnsi="仿宋" w:eastAsia="仿宋" w:cs="方正小标宋简体"/>
          <w:color w:val="auto"/>
          <w:sz w:val="32"/>
          <w:szCs w:val="32"/>
          <w:lang w:eastAsia="zh-CN"/>
        </w:rPr>
        <w:t>、住房公积金：反映行政事业单位按人力资源和社会保障部、财政部规定的基本工资和津补贴以及规定比例为职工缴纳的住房公积金。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12</w:t>
      </w:r>
      <w:r>
        <w:rPr>
          <w:rFonts w:hint="eastAsia" w:ascii="仿宋" w:hAnsi="仿宋" w:eastAsia="仿宋" w:cs="方正小标宋简体"/>
          <w:color w:val="auto"/>
          <w:sz w:val="32"/>
          <w:szCs w:val="32"/>
          <w:lang w:eastAsia="zh-CN"/>
        </w:rPr>
        <w:t>、“三公”经费：纳入预算管理的“三公”经费，是指用财政拨款安排的因公出国（境）费、公务用车购置及运行费和公务接待费。</w:t>
      </w:r>
    </w:p>
    <w:p>
      <w:pPr>
        <w:spacing w:line="600" w:lineRule="exact"/>
        <w:ind w:firstLine="640" w:firstLineChars="200"/>
        <w:rPr>
          <w:rFonts w:ascii="仿宋_GB2312" w:hAnsi="仿宋_GB2312" w:eastAsia="仿宋_GB2312"/>
          <w:color w:val="auto"/>
          <w:sz w:val="32"/>
          <w:szCs w:val="32"/>
          <w:lang w:eastAsia="zh-CN"/>
        </w:rPr>
      </w:pPr>
      <w:r>
        <w:rPr>
          <w:rFonts w:ascii="仿宋" w:hAnsi="仿宋" w:eastAsia="仿宋" w:cs="方正小标宋简体"/>
          <w:color w:val="auto"/>
          <w:sz w:val="32"/>
          <w:szCs w:val="32"/>
          <w:lang w:eastAsia="zh-CN"/>
        </w:rPr>
        <w:t>13</w:t>
      </w:r>
      <w:r>
        <w:rPr>
          <w:rFonts w:hint="eastAsia" w:ascii="仿宋" w:hAnsi="仿宋" w:eastAsia="仿宋" w:cs="方正小标宋简体"/>
          <w:color w:val="auto"/>
          <w:sz w:val="32"/>
          <w:szCs w:val="32"/>
          <w:lang w:eastAsia="zh-CN"/>
        </w:rPr>
        <w:t>、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lang w:eastAsia="zh-CN"/>
        </w:rPr>
      </w:pPr>
    </w:p>
    <w:p>
      <w:pPr>
        <w:spacing w:line="600" w:lineRule="exact"/>
        <w:jc w:val="cente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YTY1Y2YxZmFlOTM1N2U4ZWQ1NjA4ZGY5M2RkODEifQ=="/>
  </w:docVars>
  <w:rsids>
    <w:rsidRoot w:val="6D7D6800"/>
    <w:rsid w:val="00007E85"/>
    <w:rsid w:val="001063D9"/>
    <w:rsid w:val="004F062B"/>
    <w:rsid w:val="00575E2A"/>
    <w:rsid w:val="00691D0B"/>
    <w:rsid w:val="00725673"/>
    <w:rsid w:val="008C026D"/>
    <w:rsid w:val="00E23CB2"/>
    <w:rsid w:val="00FF1356"/>
    <w:rsid w:val="01F052B4"/>
    <w:rsid w:val="06CF5F81"/>
    <w:rsid w:val="0CDD3770"/>
    <w:rsid w:val="0EA70D15"/>
    <w:rsid w:val="0F136D28"/>
    <w:rsid w:val="10372407"/>
    <w:rsid w:val="13224A9E"/>
    <w:rsid w:val="158741B3"/>
    <w:rsid w:val="19FA43FF"/>
    <w:rsid w:val="1AE04729"/>
    <w:rsid w:val="2240207A"/>
    <w:rsid w:val="230B637B"/>
    <w:rsid w:val="246A0F18"/>
    <w:rsid w:val="26880E9B"/>
    <w:rsid w:val="26882E12"/>
    <w:rsid w:val="312E32CE"/>
    <w:rsid w:val="3F2F3033"/>
    <w:rsid w:val="41B972DF"/>
    <w:rsid w:val="429033E2"/>
    <w:rsid w:val="4A152776"/>
    <w:rsid w:val="4A671F35"/>
    <w:rsid w:val="4AED4A5D"/>
    <w:rsid w:val="4BF42CD4"/>
    <w:rsid w:val="4D7C6105"/>
    <w:rsid w:val="505A5A36"/>
    <w:rsid w:val="505C6E88"/>
    <w:rsid w:val="512D6CA6"/>
    <w:rsid w:val="55367F28"/>
    <w:rsid w:val="574A04A7"/>
    <w:rsid w:val="5B5071EB"/>
    <w:rsid w:val="67647AE9"/>
    <w:rsid w:val="6D7D6800"/>
    <w:rsid w:val="7249173A"/>
    <w:rsid w:val="73C851DB"/>
    <w:rsid w:val="76AC3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customStyle="1" w:styleId="5">
    <w:name w:val="p0"/>
    <w:basedOn w:val="1"/>
    <w:qFormat/>
    <w:uiPriority w:val="0"/>
  </w:style>
  <w:style w:type="character" w:customStyle="1" w:styleId="6">
    <w:name w:val="批注框文本 Char"/>
    <w:basedOn w:val="4"/>
    <w:link w:val="2"/>
    <w:uiPriority w:val="0"/>
    <w:rPr>
      <w:rFonts w:ascii="Arial" w:hAnsi="Arial" w:eastAsia="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466</Words>
  <Characters>2662</Characters>
  <Lines>22</Lines>
  <Paragraphs>6</Paragraphs>
  <TotalTime>6</TotalTime>
  <ScaleCrop>false</ScaleCrop>
  <LinksUpToDate>false</LinksUpToDate>
  <CharactersWithSpaces>3122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2023-09-21T09:00:00Z</dcterms:created>
  <dc:creator>xiaxia</dc:creator>
  <cp:lastModifiedBy>Administrator</cp:lastModifiedBy>
  <dcterms:modified xsi:type="dcterms:W3CDTF">2023-12-19T01:33:02Z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4076E6BF1C77416D81486A89DFACBCE9_13</vt:lpwstr>
  </property>
</Properties>
</file>