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spacing w:line="600" w:lineRule="exact"/>
        <w:jc w:val="center"/>
        <w:textAlignment w:val="auto"/>
        <w:rPr>
          <w:rFonts w:hint="eastAsia" w:ascii="黑体" w:hAnsi="黑体" w:eastAsia="黑体" w:cs="黑体"/>
          <w:color w:val="auto"/>
          <w:sz w:val="32"/>
          <w:szCs w:val="32"/>
          <w:lang w:eastAsia="zh-CN"/>
        </w:rPr>
      </w:pPr>
    </w:p>
    <w:p>
      <w:pPr>
        <w:kinsoku/>
        <w:autoSpaceDE/>
        <w:autoSpaceDN/>
        <w:adjustRightInd/>
        <w:snapToGrid/>
        <w:spacing w:line="600" w:lineRule="exact"/>
        <w:jc w:val="center"/>
        <w:textAlignment w:val="auto"/>
        <w:rPr>
          <w:rFonts w:hint="eastAsia" w:ascii="黑体" w:hAnsi="黑体" w:eastAsia="黑体" w:cs="黑体"/>
          <w:color w:val="auto"/>
          <w:sz w:val="32"/>
          <w:szCs w:val="32"/>
          <w:lang w:eastAsia="zh-CN"/>
        </w:rPr>
      </w:pPr>
    </w:p>
    <w:p>
      <w:pPr>
        <w:kinsoku/>
        <w:autoSpaceDE/>
        <w:autoSpaceDN/>
        <w:adjustRightInd/>
        <w:snapToGrid/>
        <w:spacing w:line="600" w:lineRule="exact"/>
        <w:jc w:val="center"/>
        <w:textAlignment w:val="auto"/>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进贤县康复医院202</w:t>
      </w:r>
      <w:r>
        <w:rPr>
          <w:rFonts w:hint="eastAsia" w:ascii="方正小标宋简体" w:hAnsi="方正小标宋简体" w:eastAsia="方正小标宋简体" w:cs="方正小标宋简体"/>
          <w:color w:val="auto"/>
          <w:sz w:val="44"/>
          <w:szCs w:val="44"/>
          <w:lang w:eastAsia="zh-CN"/>
        </w:rPr>
        <w:t>2</w:t>
      </w:r>
      <w:r>
        <w:rPr>
          <w:rFonts w:hint="eastAsia" w:ascii="方正小标宋简体" w:hAnsi="方正小标宋简体" w:eastAsia="方正小标宋简体" w:cs="方正小标宋简体"/>
          <w:color w:val="auto"/>
          <w:sz w:val="44"/>
          <w:szCs w:val="44"/>
        </w:rPr>
        <w:t>年度决算</w:t>
      </w:r>
    </w:p>
    <w:p>
      <w:pPr>
        <w:kinsoku/>
        <w:autoSpaceDE/>
        <w:autoSpaceDN/>
        <w:adjustRightInd/>
        <w:snapToGrid/>
        <w:spacing w:line="600" w:lineRule="exact"/>
        <w:jc w:val="center"/>
        <w:textAlignment w:val="auto"/>
        <w:rPr>
          <w:rFonts w:ascii="黑体" w:eastAsia="黑体"/>
          <w:color w:val="auto"/>
          <w:sz w:val="32"/>
          <w:szCs w:val="32"/>
          <w:lang w:eastAsia="zh-CN"/>
        </w:rPr>
      </w:pPr>
    </w:p>
    <w:p>
      <w:pPr>
        <w:kinsoku/>
        <w:autoSpaceDE/>
        <w:autoSpaceDN/>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目    录</w:t>
      </w:r>
    </w:p>
    <w:p>
      <w:pPr>
        <w:kinsoku/>
        <w:autoSpaceDE/>
        <w:autoSpaceDN/>
        <w:adjustRightInd/>
        <w:snapToGrid/>
        <w:spacing w:line="600" w:lineRule="exact"/>
        <w:ind w:firstLine="640"/>
        <w:textAlignment w:val="auto"/>
        <w:rPr>
          <w:rFonts w:ascii="仿宋_GB2312" w:eastAsia="仿宋_GB2312"/>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第一部分  进贤县康复医院概况</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主要职责</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二、</w:t>
      </w:r>
      <w:r>
        <w:rPr>
          <w:rFonts w:hint="eastAsia" w:ascii="仿宋_GB2312" w:hAnsi="仿宋_GB2312" w:eastAsia="仿宋_GB2312" w:cs="宋体"/>
          <w:color w:val="auto"/>
          <w:sz w:val="32"/>
          <w:szCs w:val="32"/>
          <w:lang w:eastAsia="zh-CN"/>
        </w:rPr>
        <w:t>单位</w:t>
      </w:r>
      <w:r>
        <w:rPr>
          <w:rFonts w:hint="eastAsia" w:ascii="仿宋_GB2312" w:hAnsi="仿宋_GB2312" w:eastAsia="仿宋_GB2312" w:cs="宋体"/>
          <w:color w:val="auto"/>
          <w:sz w:val="32"/>
          <w:szCs w:val="32"/>
        </w:rPr>
        <w:t>基本情况</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三、支出决算表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四、财政拨款收入支出决算总表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五、一般公共预算财政拨款支出决算表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六、一般公共预算财政拨款基本支出决算表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七、</w:t>
      </w:r>
      <w:r>
        <w:rPr>
          <w:rFonts w:hint="eastAsia" w:ascii="仿宋_GB2312" w:hAnsi="仿宋_GB2312" w:eastAsia="仿宋_GB2312" w:cs="宋体"/>
          <w:color w:val="auto"/>
          <w:sz w:val="32"/>
          <w:szCs w:val="32"/>
        </w:rPr>
        <w:t>政府性基金预算财政拨款收入支出决算表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八、国有资本经营预算财政拨款支出决算表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九、</w:t>
      </w:r>
      <w:r>
        <w:rPr>
          <w:rFonts w:hint="eastAsia" w:ascii="仿宋_GB2312" w:hAnsi="仿宋_GB2312" w:eastAsia="仿宋_GB2312" w:cs="宋体"/>
          <w:color w:val="auto"/>
          <w:sz w:val="32"/>
          <w:szCs w:val="32"/>
        </w:rPr>
        <w:t>财政拨款“三公”经费支出决算表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十</w:t>
      </w:r>
      <w:r>
        <w:rPr>
          <w:rFonts w:hint="eastAsia" w:ascii="仿宋_GB2312" w:hAnsi="仿宋_GB2312" w:eastAsia="仿宋_GB2312" w:cs="宋体"/>
          <w:color w:val="auto"/>
          <w:sz w:val="32"/>
          <w:szCs w:val="32"/>
        </w:rPr>
        <w:t>、国有资产占用情况表</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insoku/>
        <w:autoSpaceDE/>
        <w:autoSpaceDN/>
        <w:adjustRightInd/>
        <w:snapToGrid/>
        <w:spacing w:line="600" w:lineRule="exact"/>
        <w:jc w:val="center"/>
        <w:textAlignment w:val="auto"/>
        <w:rPr>
          <w:rFonts w:ascii="宋体" w:hAnsi="宋体"/>
          <w:b/>
          <w:color w:val="auto"/>
          <w:sz w:val="32"/>
          <w:szCs w:val="32"/>
        </w:rPr>
      </w:pPr>
      <w:r>
        <w:rPr>
          <w:rFonts w:hint="eastAsia" w:ascii="宋体" w:hAnsi="宋体"/>
          <w:b/>
          <w:color w:val="auto"/>
          <w:sz w:val="32"/>
          <w:szCs w:val="32"/>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第一部分  进贤县康复医院概况</w:t>
      </w:r>
    </w:p>
    <w:p>
      <w:pPr>
        <w:kinsoku/>
        <w:autoSpaceDE/>
        <w:autoSpaceDN/>
        <w:adjustRightInd/>
        <w:snapToGrid/>
        <w:spacing w:line="600" w:lineRule="exact"/>
        <w:ind w:firstLine="630"/>
        <w:jc w:val="center"/>
        <w:textAlignment w:val="auto"/>
        <w:rPr>
          <w:color w:val="auto"/>
          <w:sz w:val="32"/>
          <w:szCs w:val="32"/>
        </w:rPr>
      </w:pPr>
    </w:p>
    <w:p>
      <w:pPr>
        <w:spacing w:line="360" w:lineRule="auto"/>
        <w:ind w:firstLine="630"/>
        <w:rPr>
          <w:rFonts w:hint="eastAsia" w:ascii="仿宋" w:hAnsi="仿宋" w:eastAsia="仿宋"/>
          <w:sz w:val="32"/>
          <w:szCs w:val="32"/>
          <w:lang w:eastAsia="zh-CN"/>
        </w:rPr>
      </w:pPr>
      <w:r>
        <w:rPr>
          <w:rFonts w:hint="eastAsia" w:ascii="仿宋" w:hAnsi="仿宋" w:eastAsia="仿宋"/>
          <w:sz w:val="30"/>
          <w:szCs w:val="30"/>
        </w:rPr>
        <w:t>一、单位主要职能</w:t>
      </w:r>
    </w:p>
    <w:p>
      <w:pPr>
        <w:spacing w:line="360" w:lineRule="auto"/>
        <w:ind w:firstLine="822" w:firstLineChars="257"/>
        <w:rPr>
          <w:rFonts w:ascii="仿宋" w:hAnsi="仿宋" w:eastAsia="仿宋"/>
          <w:sz w:val="32"/>
          <w:szCs w:val="32"/>
        </w:rPr>
      </w:pPr>
      <w:r>
        <w:rPr>
          <w:rFonts w:hint="eastAsia" w:ascii="仿宋" w:hAnsi="仿宋" w:eastAsia="仿宋"/>
          <w:sz w:val="32"/>
          <w:szCs w:val="32"/>
        </w:rPr>
        <w:t>为人民身体健康提供预防与医疗保健服务。</w:t>
      </w:r>
    </w:p>
    <w:p>
      <w:pPr>
        <w:spacing w:line="360" w:lineRule="auto"/>
        <w:ind w:firstLine="630"/>
        <w:rPr>
          <w:rFonts w:hint="eastAsia" w:ascii="仿宋" w:hAnsi="仿宋" w:eastAsia="仿宋"/>
          <w:sz w:val="30"/>
          <w:szCs w:val="30"/>
          <w:lang w:eastAsia="zh-CN"/>
        </w:rPr>
      </w:pPr>
      <w:r>
        <w:rPr>
          <w:rFonts w:hint="eastAsia" w:ascii="仿宋" w:hAnsi="仿宋" w:eastAsia="仿宋"/>
          <w:sz w:val="30"/>
          <w:szCs w:val="30"/>
        </w:rPr>
        <w:t>二、单位基本情况</w:t>
      </w:r>
    </w:p>
    <w:p>
      <w:pPr>
        <w:spacing w:line="360" w:lineRule="auto"/>
        <w:ind w:firstLine="630"/>
        <w:rPr>
          <w:rFonts w:hint="eastAsia" w:ascii="仿宋" w:hAnsi="仿宋" w:eastAsia="仿宋"/>
          <w:sz w:val="30"/>
          <w:szCs w:val="30"/>
          <w:lang w:eastAsia="zh-CN"/>
        </w:rPr>
      </w:pPr>
      <w:r>
        <w:rPr>
          <w:rFonts w:hint="eastAsia" w:ascii="仿宋" w:hAnsi="仿宋" w:eastAsia="仿宋"/>
          <w:sz w:val="30"/>
          <w:szCs w:val="30"/>
        </w:rPr>
        <w:t>本单位设立10个内设机构，分别是办公室、财务室、医保办、药房、B超室、放射科、内儿科、外科、妇科、检验科。</w:t>
      </w:r>
    </w:p>
    <w:p>
      <w:pPr>
        <w:spacing w:line="360" w:lineRule="auto"/>
        <w:ind w:firstLine="630"/>
        <w:rPr>
          <w:rFonts w:hint="eastAsia" w:ascii="仿宋" w:hAnsi="仿宋" w:eastAsia="仿宋"/>
          <w:sz w:val="30"/>
          <w:szCs w:val="30"/>
        </w:rPr>
      </w:pPr>
      <w:r>
        <w:rPr>
          <w:rFonts w:hint="eastAsia" w:ascii="仿宋" w:hAnsi="仿宋" w:eastAsia="仿宋"/>
          <w:sz w:val="30"/>
          <w:szCs w:val="30"/>
        </w:rPr>
        <w:t>本单位202</w:t>
      </w:r>
      <w:r>
        <w:rPr>
          <w:rFonts w:hint="eastAsia" w:ascii="仿宋" w:hAnsi="仿宋" w:eastAsia="仿宋"/>
          <w:sz w:val="30"/>
          <w:szCs w:val="30"/>
          <w:lang w:eastAsia="zh-CN"/>
        </w:rPr>
        <w:t>2</w:t>
      </w:r>
      <w:r>
        <w:rPr>
          <w:rFonts w:hint="eastAsia" w:ascii="仿宋" w:hAnsi="仿宋" w:eastAsia="仿宋"/>
          <w:sz w:val="30"/>
          <w:szCs w:val="30"/>
        </w:rPr>
        <w:t>年年末实有人数29人，其中在职人员</w:t>
      </w:r>
      <w:r>
        <w:rPr>
          <w:rFonts w:hint="eastAsia" w:ascii="仿宋" w:hAnsi="仿宋" w:eastAsia="仿宋"/>
          <w:sz w:val="30"/>
          <w:szCs w:val="30"/>
          <w:lang w:eastAsia="zh-CN"/>
        </w:rPr>
        <w:t>16</w:t>
      </w:r>
      <w:r>
        <w:rPr>
          <w:rFonts w:hint="eastAsia" w:ascii="仿宋" w:hAnsi="仿宋" w:eastAsia="仿宋"/>
          <w:sz w:val="30"/>
          <w:szCs w:val="30"/>
        </w:rPr>
        <w:t>人，离休人员0人，退休人员0人（不含由养老保险基金发放养老金的离退休人员）；年末其他人员 0人；年末学生人数0人；由养老保险基金发放养老金的离退休人员</w:t>
      </w:r>
      <w:r>
        <w:rPr>
          <w:rFonts w:hint="eastAsia" w:ascii="仿宋" w:hAnsi="仿宋" w:eastAsia="仿宋"/>
          <w:sz w:val="30"/>
          <w:szCs w:val="30"/>
          <w:lang w:eastAsia="zh-CN"/>
        </w:rPr>
        <w:t>13</w:t>
      </w:r>
      <w:r>
        <w:rPr>
          <w:rFonts w:hint="eastAsia" w:ascii="仿宋" w:hAnsi="仿宋" w:eastAsia="仿宋"/>
          <w:sz w:val="30"/>
          <w:szCs w:val="30"/>
        </w:rPr>
        <w:t>人。</w:t>
      </w:r>
    </w:p>
    <w:p>
      <w:pPr>
        <w:spacing w:line="360" w:lineRule="auto"/>
        <w:ind w:firstLine="630"/>
        <w:rPr>
          <w:rFonts w:hint="eastAsia" w:ascii="仿宋" w:hAnsi="仿宋" w:eastAsia="仿宋"/>
          <w:sz w:val="30"/>
          <w:szCs w:val="30"/>
        </w:rPr>
      </w:pPr>
    </w:p>
    <w:p>
      <w:pPr>
        <w:kinsoku/>
        <w:autoSpaceDE/>
        <w:autoSpaceDN/>
        <w:adjustRightInd/>
        <w:snapToGrid/>
        <w:spacing w:line="360" w:lineRule="auto"/>
        <w:ind w:firstLine="640"/>
        <w:jc w:val="center"/>
        <w:textAlignment w:val="auto"/>
        <w:rPr>
          <w:rFonts w:ascii="宋体" w:hAnsi="宋体"/>
          <w:b/>
          <w:color w:val="auto"/>
          <w:sz w:val="32"/>
          <w:szCs w:val="32"/>
        </w:rPr>
      </w:pPr>
      <w:r>
        <w:rPr>
          <w:rFonts w:hint="eastAsia" w:ascii="宋体" w:hAnsi="宋体"/>
          <w:b/>
          <w:color w:val="auto"/>
          <w:sz w:val="32"/>
          <w:szCs w:val="32"/>
        </w:rPr>
        <w:br w:type="page"/>
      </w:r>
    </w:p>
    <w:p>
      <w:pPr>
        <w:numPr>
          <w:ilvl w:val="0"/>
          <w:numId w:val="1"/>
        </w:numPr>
        <w:kinsoku/>
        <w:autoSpaceDE/>
        <w:autoSpaceDN/>
        <w:adjustRightInd/>
        <w:snapToGrid/>
        <w:spacing w:line="60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决算表</w:t>
      </w:r>
    </w:p>
    <w:p>
      <w:pPr>
        <w:numPr>
          <w:numId w:val="0"/>
        </w:numPr>
        <w:kinsoku/>
        <w:autoSpaceDE/>
        <w:autoSpaceDN/>
        <w:adjustRightInd/>
        <w:snapToGrid/>
        <w:spacing w:line="600" w:lineRule="exact"/>
        <w:jc w:val="center"/>
        <w:textAlignment w:val="auto"/>
        <w:rPr>
          <w:rFonts w:hint="eastAsia" w:ascii="方正小标宋简体" w:hAnsi="方正小标宋简体" w:eastAsia="方正小标宋简体" w:cs="方正小标宋简体"/>
          <w:bCs/>
          <w:color w:val="auto"/>
          <w:sz w:val="44"/>
          <w:szCs w:val="44"/>
        </w:rPr>
      </w:pPr>
    </w:p>
    <w:p>
      <w:pPr>
        <w:spacing w:line="360" w:lineRule="auto"/>
        <w:rPr>
          <w:color w:val="auto"/>
          <w:szCs w:val="30"/>
        </w:rPr>
      </w:pPr>
    </w:p>
    <w:p>
      <w:pPr>
        <w:spacing w:line="360" w:lineRule="auto"/>
        <w:jc w:val="center"/>
      </w:pPr>
      <w:r>
        <w:drawing>
          <wp:inline distT="0" distB="0" distL="114300" distR="114300">
            <wp:extent cx="5273040" cy="5233670"/>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040" cy="5233670"/>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72405" cy="2772410"/>
            <wp:effectExtent l="0" t="0" r="444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2405" cy="2772410"/>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r>
        <w:drawing>
          <wp:inline distT="0" distB="0" distL="114300" distR="114300">
            <wp:extent cx="5265420" cy="3370580"/>
            <wp:effectExtent l="0" t="0" r="1143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5420" cy="3370580"/>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64785" cy="3822065"/>
            <wp:effectExtent l="0" t="0" r="1206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64785" cy="3822065"/>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69865" cy="4892675"/>
            <wp:effectExtent l="0" t="0" r="698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9865" cy="4892675"/>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72405" cy="8443595"/>
            <wp:effectExtent l="0" t="0" r="444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2405" cy="8443595"/>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r>
        <w:drawing>
          <wp:inline distT="0" distB="0" distL="114300" distR="114300">
            <wp:extent cx="5272405" cy="1836420"/>
            <wp:effectExtent l="0" t="0" r="4445"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72405" cy="1836420"/>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73675" cy="2886075"/>
            <wp:effectExtent l="0" t="0" r="317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3675" cy="2886075"/>
                    </a:xfrm>
                    <a:prstGeom prst="rect">
                      <a:avLst/>
                    </a:prstGeom>
                    <a:noFill/>
                    <a:ln>
                      <a:noFill/>
                    </a:ln>
                  </pic:spPr>
                </pic:pic>
              </a:graphicData>
            </a:graphic>
          </wp:inline>
        </w:drawing>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r>
        <w:drawing>
          <wp:inline distT="0" distB="0" distL="114300" distR="114300">
            <wp:extent cx="5274310" cy="4683125"/>
            <wp:effectExtent l="0" t="0" r="254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74310" cy="4683125"/>
                    </a:xfrm>
                    <a:prstGeom prst="rect">
                      <a:avLst/>
                    </a:prstGeom>
                    <a:noFill/>
                    <a:ln>
                      <a:noFill/>
                    </a:ln>
                  </pic:spPr>
                </pic:pic>
              </a:graphicData>
            </a:graphic>
          </wp:inline>
        </w:drawing>
      </w:r>
    </w:p>
    <w:p>
      <w:pPr>
        <w:spacing w:line="360" w:lineRule="auto"/>
        <w:jc w:val="center"/>
      </w:pPr>
    </w:p>
    <w:p>
      <w:pPr>
        <w:spacing w:line="360" w:lineRule="auto"/>
        <w:jc w:val="center"/>
      </w:pPr>
      <w:r>
        <w:drawing>
          <wp:inline distT="0" distB="0" distL="114300" distR="114300">
            <wp:extent cx="5272405" cy="3072130"/>
            <wp:effectExtent l="0" t="0" r="4445"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72405" cy="3072130"/>
                    </a:xfrm>
                    <a:prstGeom prst="rect">
                      <a:avLst/>
                    </a:prstGeom>
                    <a:noFill/>
                    <a:ln>
                      <a:noFill/>
                    </a:ln>
                  </pic:spPr>
                </pic:pic>
              </a:graphicData>
            </a:graphic>
          </wp:inline>
        </w:drawing>
      </w:r>
    </w:p>
    <w:p>
      <w:pPr>
        <w:spacing w:line="360" w:lineRule="auto"/>
        <w:jc w:val="center"/>
      </w:pPr>
    </w:p>
    <w:p>
      <w:pPr>
        <w:spacing w:line="360" w:lineRule="auto"/>
      </w:pPr>
    </w:p>
    <w:p>
      <w:pPr>
        <w:spacing w:line="360" w:lineRule="auto"/>
      </w:pPr>
    </w:p>
    <w:p>
      <w:pPr>
        <w:spacing w:line="360" w:lineRule="auto"/>
      </w:pPr>
    </w:p>
    <w:p>
      <w:pPr>
        <w:spacing w:line="600" w:lineRule="exact"/>
        <w:jc w:val="both"/>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第三部分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决算情况说明</w:t>
      </w:r>
    </w:p>
    <w:p>
      <w:pPr>
        <w:ind w:firstLine="630"/>
        <w:rPr>
          <w:rFonts w:ascii="仿宋_GB2312" w:hAnsi="仿宋_GB2312" w:eastAsia="仿宋_GB2312"/>
          <w:color w:val="auto"/>
          <w:sz w:val="32"/>
          <w:szCs w:val="32"/>
        </w:rPr>
      </w:pP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一、收入决算情况说明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年度收入总计</w:t>
      </w:r>
      <w:r>
        <w:rPr>
          <w:rFonts w:hint="eastAsia" w:ascii="仿宋" w:hAnsi="仿宋" w:eastAsia="仿宋"/>
          <w:color w:val="auto"/>
          <w:sz w:val="30"/>
          <w:szCs w:val="30"/>
          <w:lang w:eastAsia="zh-CN"/>
        </w:rPr>
        <w:t>678.31</w:t>
      </w:r>
      <w:r>
        <w:rPr>
          <w:rFonts w:hint="eastAsia" w:ascii="仿宋" w:hAnsi="仿宋" w:eastAsia="仿宋"/>
          <w:color w:val="auto"/>
          <w:sz w:val="30"/>
          <w:szCs w:val="30"/>
        </w:rPr>
        <w:t>万元，其中年初结转和结余</w:t>
      </w:r>
      <w:r>
        <w:rPr>
          <w:rFonts w:hint="eastAsia" w:ascii="仿宋" w:hAnsi="仿宋" w:eastAsia="仿宋"/>
          <w:color w:val="auto"/>
          <w:sz w:val="30"/>
          <w:szCs w:val="30"/>
          <w:lang w:eastAsia="zh-CN"/>
        </w:rPr>
        <w:t>135.27</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年减少</w:t>
      </w:r>
      <w:r>
        <w:rPr>
          <w:rFonts w:hint="eastAsia" w:ascii="仿宋" w:hAnsi="仿宋" w:eastAsia="仿宋"/>
          <w:color w:val="auto"/>
          <w:sz w:val="30"/>
          <w:szCs w:val="30"/>
          <w:lang w:eastAsia="zh-CN"/>
        </w:rPr>
        <w:t>106.86</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44.13</w:t>
      </w:r>
      <w:r>
        <w:rPr>
          <w:rFonts w:hint="eastAsia" w:ascii="仿宋" w:hAnsi="仿宋" w:eastAsia="仿宋"/>
          <w:color w:val="auto"/>
          <w:sz w:val="30"/>
          <w:szCs w:val="30"/>
        </w:rPr>
        <w:t>%；本年收入合计</w:t>
      </w:r>
      <w:r>
        <w:rPr>
          <w:rFonts w:hint="eastAsia" w:ascii="仿宋" w:hAnsi="仿宋" w:eastAsia="仿宋"/>
          <w:color w:val="auto"/>
          <w:sz w:val="30"/>
          <w:szCs w:val="30"/>
          <w:lang w:eastAsia="zh-CN"/>
        </w:rPr>
        <w:t>543.04</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35.08</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6.91</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财政拨款收入增加</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本年收入的具体构成为：财政拨款收入</w:t>
      </w:r>
      <w:r>
        <w:rPr>
          <w:rFonts w:hint="eastAsia" w:ascii="仿宋" w:hAnsi="仿宋" w:eastAsia="仿宋"/>
          <w:color w:val="auto"/>
          <w:sz w:val="30"/>
          <w:szCs w:val="30"/>
          <w:lang w:eastAsia="zh-CN"/>
        </w:rPr>
        <w:t>379.25</w:t>
      </w:r>
      <w:r>
        <w:rPr>
          <w:rFonts w:hint="eastAsia" w:ascii="仿宋" w:hAnsi="仿宋" w:eastAsia="仿宋"/>
          <w:color w:val="auto"/>
          <w:sz w:val="30"/>
          <w:szCs w:val="30"/>
        </w:rPr>
        <w:t>万元，占</w:t>
      </w:r>
      <w:r>
        <w:rPr>
          <w:rFonts w:hint="eastAsia" w:ascii="仿宋" w:hAnsi="仿宋" w:eastAsia="仿宋"/>
          <w:color w:val="auto"/>
          <w:sz w:val="30"/>
          <w:szCs w:val="30"/>
          <w:lang w:eastAsia="zh-CN"/>
        </w:rPr>
        <w:t>69.84</w:t>
      </w:r>
      <w:r>
        <w:rPr>
          <w:rFonts w:hint="eastAsia" w:ascii="仿宋" w:hAnsi="仿宋" w:eastAsia="仿宋"/>
          <w:color w:val="auto"/>
          <w:sz w:val="30"/>
          <w:szCs w:val="30"/>
        </w:rPr>
        <w:t>%；事业收入</w:t>
      </w:r>
      <w:r>
        <w:rPr>
          <w:rFonts w:hint="eastAsia" w:ascii="仿宋" w:hAnsi="仿宋" w:eastAsia="仿宋"/>
          <w:color w:val="auto"/>
          <w:sz w:val="30"/>
          <w:szCs w:val="30"/>
          <w:lang w:eastAsia="zh-CN"/>
        </w:rPr>
        <w:t>163.79</w:t>
      </w:r>
      <w:r>
        <w:rPr>
          <w:rFonts w:hint="eastAsia" w:ascii="仿宋" w:hAnsi="仿宋" w:eastAsia="仿宋"/>
          <w:color w:val="auto"/>
          <w:sz w:val="30"/>
          <w:szCs w:val="30"/>
        </w:rPr>
        <w:t>万元，占</w:t>
      </w:r>
      <w:r>
        <w:rPr>
          <w:rFonts w:hint="eastAsia" w:ascii="仿宋" w:hAnsi="仿宋" w:eastAsia="仿宋"/>
          <w:color w:val="auto"/>
          <w:sz w:val="30"/>
          <w:szCs w:val="30"/>
          <w:lang w:eastAsia="zh-CN"/>
        </w:rPr>
        <w:t>30.16</w:t>
      </w:r>
      <w:r>
        <w:rPr>
          <w:rFonts w:hint="eastAsia" w:ascii="仿宋" w:hAnsi="仿宋" w:eastAsia="仿宋"/>
          <w:color w:val="auto"/>
          <w:sz w:val="30"/>
          <w:szCs w:val="30"/>
        </w:rPr>
        <w:t>%；经营收入</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万元，占  </w:t>
      </w:r>
      <w:r>
        <w:rPr>
          <w:rFonts w:hint="eastAsia" w:ascii="仿宋" w:hAnsi="仿宋" w:eastAsia="仿宋"/>
          <w:color w:val="auto"/>
          <w:sz w:val="30"/>
          <w:szCs w:val="30"/>
          <w:lang w:eastAsia="zh-CN"/>
        </w:rPr>
        <w:t>0</w:t>
      </w:r>
      <w:r>
        <w:rPr>
          <w:rFonts w:hint="eastAsia" w:ascii="仿宋" w:hAnsi="仿宋" w:eastAsia="仿宋"/>
          <w:color w:val="auto"/>
          <w:sz w:val="30"/>
          <w:szCs w:val="30"/>
        </w:rPr>
        <w:t>%；其他收入</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二、支出决算情况说明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年度支出总计</w:t>
      </w:r>
      <w:r>
        <w:rPr>
          <w:rFonts w:hint="eastAsia" w:ascii="仿宋" w:hAnsi="仿宋" w:eastAsia="仿宋"/>
          <w:color w:val="auto"/>
          <w:sz w:val="30"/>
          <w:szCs w:val="30"/>
          <w:lang w:eastAsia="zh-CN"/>
        </w:rPr>
        <w:t>678.31</w:t>
      </w:r>
      <w:r>
        <w:rPr>
          <w:rFonts w:hint="eastAsia" w:ascii="仿宋" w:hAnsi="仿宋" w:eastAsia="仿宋"/>
          <w:color w:val="auto"/>
          <w:sz w:val="30"/>
          <w:szCs w:val="30"/>
        </w:rPr>
        <w:t xml:space="preserve">万元，其中本年支出合计   </w:t>
      </w:r>
      <w:r>
        <w:rPr>
          <w:rFonts w:hint="eastAsia" w:ascii="仿宋" w:hAnsi="仿宋" w:eastAsia="仿宋"/>
          <w:color w:val="auto"/>
          <w:sz w:val="30"/>
          <w:szCs w:val="30"/>
          <w:lang w:eastAsia="zh-CN"/>
        </w:rPr>
        <w:t>456.22</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年减少</w:t>
      </w:r>
      <w:r>
        <w:rPr>
          <w:rFonts w:hint="eastAsia" w:ascii="仿宋" w:hAnsi="仿宋" w:eastAsia="仿宋"/>
          <w:color w:val="auto"/>
          <w:sz w:val="30"/>
          <w:szCs w:val="30"/>
          <w:lang w:eastAsia="zh-CN"/>
        </w:rPr>
        <w:t>158.6</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25.79</w:t>
      </w:r>
      <w:r>
        <w:rPr>
          <w:rFonts w:hint="eastAsia" w:ascii="仿宋" w:hAnsi="仿宋" w:eastAsia="仿宋"/>
          <w:color w:val="auto"/>
          <w:sz w:val="30"/>
          <w:szCs w:val="30"/>
        </w:rPr>
        <w:t xml:space="preserve"> %，主要原因是：</w:t>
      </w:r>
      <w:r>
        <w:rPr>
          <w:rFonts w:hint="eastAsia" w:ascii="仿宋" w:hAnsi="仿宋" w:eastAsia="仿宋"/>
          <w:color w:val="auto"/>
          <w:sz w:val="30"/>
          <w:szCs w:val="30"/>
          <w:lang w:eastAsia="zh-CN"/>
        </w:rPr>
        <w:t>医疗业务支出减少</w:t>
      </w:r>
      <w:r>
        <w:rPr>
          <w:rFonts w:hint="eastAsia" w:ascii="仿宋" w:hAnsi="仿宋" w:eastAsia="仿宋"/>
          <w:color w:val="auto"/>
          <w:sz w:val="30"/>
          <w:szCs w:val="30"/>
        </w:rPr>
        <w:t>；年末结转和结余</w:t>
      </w:r>
      <w:r>
        <w:rPr>
          <w:rFonts w:hint="eastAsia" w:ascii="仿宋" w:hAnsi="仿宋" w:eastAsia="仿宋"/>
          <w:color w:val="auto"/>
          <w:sz w:val="30"/>
          <w:szCs w:val="30"/>
          <w:lang w:eastAsia="zh-CN"/>
        </w:rPr>
        <w:t>222.09</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86.82</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64.18</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事业收入结余增加</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本年支出的具体构成为：基本支出</w:t>
      </w:r>
      <w:r>
        <w:rPr>
          <w:rFonts w:hint="eastAsia" w:ascii="仿宋" w:hAnsi="仿宋" w:eastAsia="仿宋"/>
          <w:color w:val="auto"/>
          <w:sz w:val="30"/>
          <w:szCs w:val="30"/>
          <w:lang w:eastAsia="zh-CN"/>
        </w:rPr>
        <w:t>678.31</w:t>
      </w:r>
      <w:r>
        <w:rPr>
          <w:rFonts w:hint="eastAsia" w:ascii="仿宋" w:hAnsi="仿宋" w:eastAsia="仿宋"/>
          <w:color w:val="auto"/>
          <w:sz w:val="30"/>
          <w:szCs w:val="30"/>
        </w:rPr>
        <w:t>万元，占</w:t>
      </w:r>
      <w:r>
        <w:rPr>
          <w:rFonts w:hint="eastAsia" w:ascii="仿宋" w:hAnsi="仿宋" w:eastAsia="仿宋"/>
          <w:color w:val="auto"/>
          <w:sz w:val="30"/>
          <w:szCs w:val="30"/>
          <w:lang w:eastAsia="zh-CN"/>
        </w:rPr>
        <w:t>92.73</w:t>
      </w:r>
      <w:r>
        <w:rPr>
          <w:rFonts w:hint="eastAsia" w:ascii="仿宋" w:hAnsi="仿宋" w:eastAsia="仿宋"/>
          <w:color w:val="auto"/>
          <w:sz w:val="30"/>
          <w:szCs w:val="30"/>
        </w:rPr>
        <w:t>%；项目支出</w:t>
      </w:r>
      <w:r>
        <w:rPr>
          <w:rFonts w:hint="eastAsia" w:ascii="仿宋" w:hAnsi="仿宋" w:eastAsia="仿宋"/>
          <w:color w:val="auto"/>
          <w:sz w:val="30"/>
          <w:szCs w:val="30"/>
          <w:lang w:eastAsia="zh-CN"/>
        </w:rPr>
        <w:t>33.17</w:t>
      </w:r>
      <w:r>
        <w:rPr>
          <w:rFonts w:hint="eastAsia" w:ascii="仿宋" w:hAnsi="仿宋" w:eastAsia="仿宋"/>
          <w:color w:val="auto"/>
          <w:sz w:val="30"/>
          <w:szCs w:val="30"/>
        </w:rPr>
        <w:t>万元，占</w:t>
      </w:r>
      <w:r>
        <w:rPr>
          <w:rFonts w:hint="eastAsia" w:ascii="仿宋" w:hAnsi="仿宋" w:eastAsia="仿宋"/>
          <w:color w:val="auto"/>
          <w:sz w:val="30"/>
          <w:szCs w:val="30"/>
          <w:lang w:eastAsia="zh-CN"/>
        </w:rPr>
        <w:t>7.27</w:t>
      </w:r>
      <w:r>
        <w:rPr>
          <w:rFonts w:hint="eastAsia" w:ascii="仿宋" w:hAnsi="仿宋" w:eastAsia="仿宋"/>
          <w:color w:val="auto"/>
          <w:sz w:val="30"/>
          <w:szCs w:val="30"/>
        </w:rPr>
        <w:t>%；经营支出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%；其他支出（对附属单位补助支出、上缴上级支出）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三、财政拨款支出决算情况说明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年度财政拨款本年支出年初预算数为</w:t>
      </w:r>
      <w:r>
        <w:rPr>
          <w:rFonts w:hint="eastAsia" w:ascii="仿宋" w:hAnsi="仿宋" w:eastAsia="仿宋"/>
          <w:color w:val="auto"/>
          <w:sz w:val="30"/>
          <w:szCs w:val="30"/>
          <w:lang w:eastAsia="zh-CN"/>
        </w:rPr>
        <w:t>200.36</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379.25</w:t>
      </w:r>
      <w:r>
        <w:rPr>
          <w:rFonts w:hint="eastAsia" w:ascii="仿宋" w:hAnsi="仿宋" w:eastAsia="仿宋"/>
          <w:color w:val="auto"/>
          <w:sz w:val="30"/>
          <w:szCs w:val="30"/>
        </w:rPr>
        <w:t>万元，完成年初预算的</w:t>
      </w:r>
      <w:r>
        <w:rPr>
          <w:rFonts w:hint="eastAsia" w:ascii="仿宋" w:hAnsi="仿宋" w:eastAsia="仿宋"/>
          <w:color w:val="auto"/>
          <w:sz w:val="30"/>
          <w:szCs w:val="30"/>
          <w:lang w:eastAsia="zh-CN"/>
        </w:rPr>
        <w:t>189.28</w:t>
      </w:r>
      <w:r>
        <w:rPr>
          <w:rFonts w:hint="eastAsia" w:ascii="仿宋" w:hAnsi="仿宋" w:eastAsia="仿宋"/>
          <w:color w:val="auto"/>
          <w:sz w:val="30"/>
          <w:szCs w:val="30"/>
        </w:rPr>
        <w:t>%。其中：</w:t>
      </w:r>
    </w:p>
    <w:p>
      <w:pPr>
        <w:spacing w:line="600" w:lineRule="exact"/>
        <w:ind w:firstLine="600" w:firstLineChars="200"/>
        <w:jc w:val="both"/>
        <w:rPr>
          <w:rFonts w:ascii="仿宋" w:hAnsi="仿宋" w:eastAsia="仿宋"/>
          <w:color w:val="auto"/>
          <w:sz w:val="30"/>
          <w:szCs w:val="30"/>
        </w:rPr>
      </w:pPr>
      <w:r>
        <w:rPr>
          <w:rFonts w:hint="eastAsia" w:ascii="仿宋" w:hAnsi="仿宋" w:eastAsia="仿宋"/>
          <w:color w:val="auto"/>
          <w:sz w:val="30"/>
          <w:szCs w:val="30"/>
          <w:lang w:eastAsia="zh-CN"/>
        </w:rPr>
        <w:t>（一）</w:t>
      </w:r>
      <w:r>
        <w:rPr>
          <w:rFonts w:hint="eastAsia" w:ascii="仿宋" w:hAnsi="仿宋" w:eastAsia="仿宋" w:cs="仿宋_GB2312"/>
          <w:color w:val="auto"/>
          <w:sz w:val="30"/>
          <w:szCs w:val="30"/>
          <w:lang w:eastAsia="zh-CN"/>
        </w:rPr>
        <w:t>社会保障和就业</w:t>
      </w:r>
      <w:r>
        <w:rPr>
          <w:rFonts w:hint="eastAsia" w:ascii="仿宋" w:hAnsi="仿宋" w:eastAsia="仿宋"/>
          <w:color w:val="auto"/>
          <w:sz w:val="30"/>
          <w:szCs w:val="30"/>
          <w:lang w:eastAsia="zh-CN"/>
        </w:rPr>
        <w:t>支出</w:t>
      </w:r>
      <w:r>
        <w:rPr>
          <w:rFonts w:hint="eastAsia" w:ascii="仿宋" w:hAnsi="仿宋" w:eastAsia="仿宋"/>
          <w:color w:val="auto"/>
          <w:sz w:val="30"/>
          <w:szCs w:val="30"/>
        </w:rPr>
        <w:t>年初预算数为</w:t>
      </w:r>
      <w:r>
        <w:rPr>
          <w:rFonts w:hint="eastAsia" w:ascii="仿宋" w:hAnsi="仿宋" w:eastAsia="仿宋"/>
          <w:color w:val="auto"/>
          <w:sz w:val="30"/>
          <w:szCs w:val="30"/>
          <w:lang w:eastAsia="zh-CN"/>
        </w:rPr>
        <w:t>31.58</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31.58</w:t>
      </w:r>
      <w:r>
        <w:rPr>
          <w:rFonts w:hint="eastAsia" w:ascii="仿宋" w:hAnsi="仿宋" w:eastAsia="仿宋"/>
          <w:color w:val="auto"/>
          <w:sz w:val="30"/>
          <w:szCs w:val="30"/>
        </w:rPr>
        <w:t>万元，完成年初预算的</w:t>
      </w:r>
      <w:r>
        <w:rPr>
          <w:rFonts w:hint="eastAsia" w:ascii="仿宋" w:hAnsi="仿宋" w:eastAsia="仿宋"/>
          <w:color w:val="auto"/>
          <w:sz w:val="30"/>
          <w:szCs w:val="30"/>
          <w:lang w:eastAsia="zh-CN"/>
        </w:rPr>
        <w:t>100</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本年度养老保险和医疗保险缴费基数未进行大的调整</w:t>
      </w:r>
      <w:r>
        <w:rPr>
          <w:rFonts w:hint="eastAsia" w:ascii="仿宋" w:hAnsi="仿宋" w:eastAsia="仿宋"/>
          <w:color w:val="auto"/>
          <w:sz w:val="30"/>
          <w:szCs w:val="30"/>
        </w:rPr>
        <w:t>。</w:t>
      </w:r>
    </w:p>
    <w:p>
      <w:pPr>
        <w:spacing w:line="600" w:lineRule="exact"/>
        <w:ind w:firstLine="600" w:firstLineChars="200"/>
        <w:jc w:val="both"/>
        <w:rPr>
          <w:rFonts w:hint="eastAsia" w:ascii="仿宋" w:hAnsi="仿宋" w:eastAsia="仿宋"/>
          <w:color w:val="auto"/>
          <w:sz w:val="30"/>
          <w:szCs w:val="30"/>
          <w:lang w:eastAsia="zh-CN"/>
        </w:rPr>
      </w:pPr>
      <w:r>
        <w:rPr>
          <w:rFonts w:hint="eastAsia" w:ascii="仿宋" w:hAnsi="仿宋" w:eastAsia="仿宋" w:cs="仿宋_GB2312"/>
          <w:color w:val="auto"/>
          <w:sz w:val="30"/>
          <w:szCs w:val="30"/>
          <w:lang w:eastAsia="zh-CN"/>
        </w:rPr>
        <w:t>（二）卫生健康</w:t>
      </w:r>
      <w:r>
        <w:rPr>
          <w:rFonts w:hint="eastAsia" w:ascii="仿宋" w:hAnsi="仿宋" w:eastAsia="仿宋"/>
          <w:color w:val="auto"/>
          <w:sz w:val="30"/>
          <w:szCs w:val="30"/>
          <w:lang w:eastAsia="zh-CN"/>
        </w:rPr>
        <w:t>支出</w:t>
      </w:r>
      <w:r>
        <w:rPr>
          <w:rFonts w:hint="eastAsia" w:ascii="仿宋" w:hAnsi="仿宋" w:eastAsia="仿宋"/>
          <w:color w:val="auto"/>
          <w:sz w:val="30"/>
          <w:szCs w:val="30"/>
        </w:rPr>
        <w:t>年初预算数为</w:t>
      </w:r>
      <w:r>
        <w:rPr>
          <w:rFonts w:hint="eastAsia" w:ascii="仿宋" w:hAnsi="仿宋" w:eastAsia="仿宋"/>
          <w:color w:val="auto"/>
          <w:sz w:val="30"/>
          <w:szCs w:val="30"/>
          <w:lang w:eastAsia="zh-CN"/>
        </w:rPr>
        <w:t>149.28</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328.17</w:t>
      </w:r>
      <w:r>
        <w:rPr>
          <w:rFonts w:hint="eastAsia" w:ascii="仿宋" w:hAnsi="仿宋" w:eastAsia="仿宋"/>
          <w:color w:val="auto"/>
          <w:sz w:val="30"/>
          <w:szCs w:val="30"/>
        </w:rPr>
        <w:t>万元，完成年初预算的</w:t>
      </w:r>
      <w:r>
        <w:rPr>
          <w:rFonts w:hint="eastAsia" w:ascii="仿宋" w:hAnsi="仿宋" w:eastAsia="仿宋"/>
          <w:color w:val="auto"/>
          <w:sz w:val="30"/>
          <w:szCs w:val="30"/>
          <w:lang w:eastAsia="zh-CN"/>
        </w:rPr>
        <w:t>219.83</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上年度绩效奖在本年度发放</w:t>
      </w:r>
      <w:r>
        <w:rPr>
          <w:rFonts w:hint="eastAsia" w:ascii="仿宋" w:hAnsi="仿宋" w:eastAsia="仿宋"/>
          <w:color w:val="auto"/>
          <w:sz w:val="30"/>
          <w:szCs w:val="30"/>
        </w:rPr>
        <w:t>。</w:t>
      </w:r>
    </w:p>
    <w:p>
      <w:pPr>
        <w:spacing w:line="600" w:lineRule="exact"/>
        <w:ind w:firstLine="600" w:firstLineChars="200"/>
        <w:jc w:val="both"/>
        <w:rPr>
          <w:rFonts w:ascii="仿宋" w:hAnsi="仿宋" w:eastAsia="仿宋"/>
          <w:color w:val="auto"/>
          <w:sz w:val="30"/>
          <w:szCs w:val="30"/>
        </w:rPr>
      </w:pPr>
      <w:r>
        <w:rPr>
          <w:rFonts w:hint="eastAsia" w:ascii="仿宋" w:hAnsi="仿宋" w:eastAsia="仿宋" w:cs="仿宋_GB2312"/>
          <w:color w:val="auto"/>
          <w:sz w:val="30"/>
          <w:szCs w:val="30"/>
          <w:lang w:eastAsia="zh-CN"/>
        </w:rPr>
        <w:t>（三）住房保障</w:t>
      </w:r>
      <w:r>
        <w:rPr>
          <w:rFonts w:hint="eastAsia" w:ascii="仿宋" w:hAnsi="仿宋" w:eastAsia="仿宋"/>
          <w:color w:val="auto"/>
          <w:sz w:val="30"/>
          <w:szCs w:val="30"/>
          <w:lang w:eastAsia="zh-CN"/>
        </w:rPr>
        <w:t>支出</w:t>
      </w:r>
      <w:r>
        <w:rPr>
          <w:rFonts w:hint="eastAsia" w:ascii="仿宋" w:hAnsi="仿宋" w:eastAsia="仿宋"/>
          <w:color w:val="auto"/>
          <w:sz w:val="30"/>
          <w:szCs w:val="30"/>
        </w:rPr>
        <w:t>年初预算数为</w:t>
      </w:r>
      <w:r>
        <w:rPr>
          <w:rFonts w:hint="eastAsia" w:ascii="仿宋" w:hAnsi="仿宋" w:eastAsia="仿宋"/>
          <w:color w:val="auto"/>
          <w:sz w:val="30"/>
          <w:szCs w:val="30"/>
          <w:lang w:eastAsia="zh-CN"/>
        </w:rPr>
        <w:t>19.5</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19.5</w:t>
      </w:r>
      <w:r>
        <w:rPr>
          <w:rFonts w:hint="eastAsia" w:ascii="仿宋" w:hAnsi="仿宋" w:eastAsia="仿宋"/>
          <w:color w:val="auto"/>
          <w:sz w:val="30"/>
          <w:szCs w:val="30"/>
        </w:rPr>
        <w:t>万元，完成年初预算的</w:t>
      </w:r>
      <w:r>
        <w:rPr>
          <w:rFonts w:hint="eastAsia" w:ascii="仿宋" w:hAnsi="仿宋" w:eastAsia="仿宋"/>
          <w:color w:val="auto"/>
          <w:sz w:val="30"/>
          <w:szCs w:val="30"/>
          <w:lang w:eastAsia="zh-CN"/>
        </w:rPr>
        <w:t>100</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本年度未调整公积金缴费基数</w:t>
      </w:r>
      <w:r>
        <w:rPr>
          <w:rFonts w:hint="eastAsia" w:ascii="仿宋" w:hAnsi="仿宋" w:eastAsia="仿宋"/>
          <w:color w:val="auto"/>
          <w:sz w:val="30"/>
          <w:szCs w:val="30"/>
        </w:rPr>
        <w:t>。</w:t>
      </w:r>
    </w:p>
    <w:p>
      <w:pPr>
        <w:spacing w:line="600" w:lineRule="exact"/>
        <w:ind w:firstLine="600" w:firstLineChars="200"/>
        <w:jc w:val="both"/>
        <w:rPr>
          <w:rFonts w:ascii="仿宋" w:hAnsi="仿宋" w:eastAsia="仿宋"/>
          <w:color w:val="auto"/>
          <w:sz w:val="30"/>
          <w:szCs w:val="30"/>
          <w:lang w:eastAsia="zh-CN"/>
        </w:rPr>
      </w:pP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四、一般公共预算财政拨款基本支出决算情况说明</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年度一般公共预算财政拨款基本支出</w:t>
      </w:r>
      <w:r>
        <w:rPr>
          <w:rFonts w:hint="eastAsia" w:ascii="仿宋" w:hAnsi="仿宋" w:eastAsia="仿宋"/>
          <w:color w:val="auto"/>
          <w:sz w:val="30"/>
          <w:szCs w:val="30"/>
          <w:lang w:eastAsia="zh-CN"/>
        </w:rPr>
        <w:t>346.08</w:t>
      </w:r>
      <w:r>
        <w:rPr>
          <w:rFonts w:hint="eastAsia" w:ascii="仿宋" w:hAnsi="仿宋" w:eastAsia="仿宋"/>
          <w:color w:val="auto"/>
          <w:sz w:val="30"/>
          <w:szCs w:val="30"/>
        </w:rPr>
        <w:t>万元，其中：</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（一）工资福利支出</w:t>
      </w:r>
      <w:r>
        <w:rPr>
          <w:rFonts w:hint="eastAsia" w:ascii="仿宋" w:hAnsi="仿宋" w:eastAsia="仿宋"/>
          <w:color w:val="auto"/>
          <w:sz w:val="30"/>
          <w:szCs w:val="30"/>
          <w:lang w:eastAsia="zh-CN"/>
        </w:rPr>
        <w:t>272.83</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57.81</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26.88</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上年度绩效奖在本年度发放。</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（二）商品和服务支出</w:t>
      </w:r>
      <w:r>
        <w:rPr>
          <w:rFonts w:hint="eastAsia" w:ascii="仿宋" w:hAnsi="仿宋" w:eastAsia="仿宋"/>
          <w:color w:val="auto"/>
          <w:sz w:val="30"/>
          <w:szCs w:val="30"/>
          <w:lang w:eastAsia="zh-CN"/>
        </w:rPr>
        <w:t>16.3</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16.3</w:t>
      </w:r>
      <w:r>
        <w:rPr>
          <w:rFonts w:hint="eastAsia" w:ascii="仿宋" w:hAnsi="仿宋" w:eastAsia="仿宋"/>
          <w:color w:val="auto"/>
          <w:sz w:val="30"/>
          <w:szCs w:val="30"/>
        </w:rPr>
        <w:t>万元，主要原因是：</w:t>
      </w:r>
      <w:r>
        <w:rPr>
          <w:rFonts w:hint="eastAsia" w:ascii="仿宋" w:hAnsi="仿宋" w:eastAsia="仿宋"/>
          <w:color w:val="auto"/>
          <w:sz w:val="30"/>
          <w:szCs w:val="30"/>
          <w:lang w:eastAsia="zh-CN"/>
        </w:rPr>
        <w:t>本年度支出专用材料购置费</w:t>
      </w:r>
      <w:r>
        <w:rPr>
          <w:rFonts w:hint="eastAsia" w:ascii="仿宋" w:hAnsi="仿宋" w:eastAsia="仿宋"/>
          <w:color w:val="auto"/>
          <w:sz w:val="30"/>
          <w:szCs w:val="30"/>
        </w:rPr>
        <w:t>。</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（三）对个人和家庭补助支出</w:t>
      </w:r>
      <w:r>
        <w:rPr>
          <w:rFonts w:hint="eastAsia" w:ascii="仿宋" w:hAnsi="仿宋" w:eastAsia="仿宋"/>
          <w:color w:val="auto"/>
          <w:sz w:val="30"/>
          <w:szCs w:val="30"/>
          <w:lang w:eastAsia="zh-CN"/>
        </w:rPr>
        <w:t>56.95</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56.95</w:t>
      </w:r>
      <w:r>
        <w:rPr>
          <w:rFonts w:hint="eastAsia" w:ascii="仿宋" w:hAnsi="仿宋" w:eastAsia="仿宋"/>
          <w:color w:val="auto"/>
          <w:sz w:val="30"/>
          <w:szCs w:val="30"/>
        </w:rPr>
        <w:t>万元，主要原因是：</w:t>
      </w:r>
      <w:r>
        <w:rPr>
          <w:rFonts w:hint="eastAsia" w:ascii="仿宋" w:hAnsi="仿宋" w:eastAsia="仿宋"/>
          <w:color w:val="auto"/>
          <w:sz w:val="30"/>
          <w:szCs w:val="30"/>
          <w:lang w:eastAsia="zh-CN"/>
        </w:rPr>
        <w:t>上年度绩效奖在本年度发放。</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（四）资本性支出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p>
    <w:p>
      <w:pPr>
        <w:spacing w:line="600" w:lineRule="exact"/>
        <w:ind w:firstLine="630"/>
        <w:jc w:val="both"/>
        <w:rPr>
          <w:rFonts w:hint="eastAsia" w:ascii="黑体" w:hAnsi="黑体" w:eastAsia="黑体"/>
          <w:color w:val="auto"/>
          <w:sz w:val="32"/>
          <w:szCs w:val="32"/>
          <w:lang w:eastAsia="zh-CN"/>
        </w:rPr>
      </w:pPr>
    </w:p>
    <w:p>
      <w:pPr>
        <w:spacing w:line="600" w:lineRule="exact"/>
        <w:ind w:firstLine="630"/>
        <w:jc w:val="both"/>
        <w:rPr>
          <w:rFonts w:hint="eastAsia" w:ascii="黑体" w:hAnsi="黑体" w:eastAsia="黑体"/>
          <w:color w:val="auto"/>
          <w:sz w:val="32"/>
          <w:szCs w:val="32"/>
        </w:rPr>
      </w:pPr>
    </w:p>
    <w:p>
      <w:pPr>
        <w:spacing w:line="600" w:lineRule="exact"/>
        <w:ind w:firstLine="630"/>
        <w:jc w:val="both"/>
        <w:rPr>
          <w:rFonts w:hint="eastAsia" w:ascii="黑体" w:hAnsi="黑体" w:eastAsia="黑体"/>
          <w:color w:val="auto"/>
          <w:sz w:val="32"/>
          <w:szCs w:val="32"/>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年度财政拨款“三公”经费支出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 xml:space="preserve">为   </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%，其中：</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（一）因公出国（境）支出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w:t>
      </w:r>
      <w:r>
        <w:rPr>
          <w:rFonts w:hint="eastAsia" w:ascii="仿宋" w:hAnsi="仿宋" w:eastAsia="仿宋" w:cs="Times New Roman"/>
          <w:color w:val="auto"/>
          <w:sz w:val="30"/>
          <w:szCs w:val="30"/>
        </w:rPr>
        <w:t>。</w:t>
      </w:r>
      <w:r>
        <w:rPr>
          <w:rFonts w:hint="eastAsia" w:ascii="仿宋" w:hAnsi="仿宋" w:eastAsia="仿宋"/>
          <w:color w:val="auto"/>
          <w:sz w:val="30"/>
          <w:szCs w:val="30"/>
          <w:lang w:eastAsia="zh-CN"/>
        </w:rPr>
        <w:t>全年安排因公出国（境）团组0个，累计0人次</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lang w:eastAsia="zh-CN"/>
        </w:rPr>
      </w:pPr>
      <w:r>
        <w:rPr>
          <w:rFonts w:hint="eastAsia" w:ascii="仿宋" w:hAnsi="仿宋" w:eastAsia="仿宋"/>
          <w:color w:val="auto"/>
          <w:sz w:val="30"/>
          <w:szCs w:val="30"/>
        </w:rPr>
        <w:t>（二）公务接待费支出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olor w:val="auto"/>
          <w:sz w:val="30"/>
          <w:szCs w:val="30"/>
          <w:lang w:eastAsia="zh-CN"/>
        </w:rPr>
        <w:t>全年国内公务接待0批，累计接待0人次，其中外事接待0批，累计接待0人次</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（三）公务用车购置及运行维护费支出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万元，其中公务用车购置</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w:t>
      </w:r>
      <w:r>
        <w:rPr>
          <w:rFonts w:hint="eastAsia" w:ascii="仿宋" w:hAnsi="仿宋" w:eastAsia="仿宋"/>
          <w:color w:val="auto"/>
          <w:sz w:val="30"/>
          <w:szCs w:val="30"/>
          <w:lang w:eastAsia="zh-CN"/>
        </w:rPr>
        <w:t>0</w:t>
      </w:r>
      <w:r>
        <w:rPr>
          <w:rFonts w:hint="eastAsia" w:ascii="仿宋" w:hAnsi="仿宋" w:eastAsia="仿宋"/>
          <w:color w:val="auto"/>
          <w:sz w:val="30"/>
          <w:szCs w:val="30"/>
        </w:rPr>
        <w:t>，增长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olor w:val="auto"/>
          <w:sz w:val="30"/>
          <w:szCs w:val="30"/>
          <w:lang w:eastAsia="zh-CN"/>
        </w:rPr>
        <w:t>，全年购置公务用车0辆</w:t>
      </w:r>
      <w:r>
        <w:rPr>
          <w:rFonts w:hint="eastAsia" w:ascii="仿宋" w:hAnsi="仿宋" w:eastAsia="仿宋"/>
          <w:color w:val="auto"/>
          <w:sz w:val="30"/>
          <w:szCs w:val="30"/>
        </w:rPr>
        <w:t>。公务用车运行维护费支出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olor w:val="auto"/>
          <w:sz w:val="30"/>
          <w:szCs w:val="30"/>
          <w:lang w:eastAsia="zh-CN"/>
        </w:rPr>
        <w:t>，年末公务用车保有  0辆</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六、机关运行经费支出情况说明</w:t>
      </w:r>
    </w:p>
    <w:p>
      <w:pPr>
        <w:spacing w:line="600" w:lineRule="exact"/>
        <w:ind w:firstLine="630"/>
        <w:jc w:val="both"/>
        <w:rPr>
          <w:rFonts w:ascii="仿宋" w:hAnsi="仿宋" w:eastAsia="仿宋"/>
          <w:color w:val="auto"/>
          <w:sz w:val="30"/>
          <w:szCs w:val="30"/>
          <w:lang w:eastAsia="zh-CN"/>
        </w:rPr>
      </w:pPr>
      <w:r>
        <w:rPr>
          <w:rFonts w:hint="eastAsia" w:ascii="仿宋" w:hAnsi="仿宋" w:eastAsia="仿宋"/>
          <w:color w:val="auto"/>
          <w:sz w:val="30"/>
          <w:szCs w:val="30"/>
          <w:lang w:eastAsia="zh-CN"/>
        </w:rPr>
        <w:t>本单位不是</w:t>
      </w:r>
      <w:r>
        <w:rPr>
          <w:rFonts w:hint="eastAsia" w:ascii="仿宋" w:hAnsi="仿宋" w:eastAsia="仿宋"/>
          <w:color w:val="auto"/>
          <w:sz w:val="30"/>
          <w:szCs w:val="30"/>
        </w:rPr>
        <w:t>行政单位</w:t>
      </w:r>
      <w:r>
        <w:rPr>
          <w:rFonts w:hint="eastAsia" w:ascii="仿宋" w:hAnsi="仿宋" w:eastAsia="仿宋"/>
          <w:color w:val="auto"/>
          <w:sz w:val="30"/>
          <w:szCs w:val="30"/>
          <w:lang w:eastAsia="zh-CN"/>
        </w:rPr>
        <w:t>或</w:t>
      </w:r>
      <w:r>
        <w:rPr>
          <w:rFonts w:hint="eastAsia" w:ascii="仿宋" w:hAnsi="仿宋" w:eastAsia="仿宋"/>
          <w:color w:val="auto"/>
          <w:sz w:val="30"/>
          <w:szCs w:val="30"/>
        </w:rPr>
        <w:t>参照公务员法管理事业单位</w:t>
      </w:r>
      <w:r>
        <w:rPr>
          <w:rFonts w:hint="eastAsia" w:ascii="仿宋" w:hAnsi="仿宋" w:eastAsia="仿宋"/>
          <w:color w:val="auto"/>
          <w:sz w:val="30"/>
          <w:szCs w:val="30"/>
          <w:lang w:eastAsia="zh-CN"/>
        </w:rPr>
        <w:t>，故无机关运行经费支出。</w:t>
      </w:r>
      <w:r>
        <w:rPr>
          <w:rFonts w:hint="eastAsia" w:ascii="仿宋" w:hAnsi="仿宋" w:eastAsia="仿宋"/>
          <w:color w:val="auto"/>
          <w:sz w:val="30"/>
          <w:szCs w:val="30"/>
        </w:rPr>
        <w:t xml:space="preserve"> </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七、政府采购支出情况说明</w:t>
      </w:r>
    </w:p>
    <w:p>
      <w:pPr>
        <w:pStyle w:val="5"/>
        <w:spacing w:line="600" w:lineRule="exact"/>
        <w:ind w:firstLine="60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年度政府采购支出总额</w:t>
      </w:r>
      <w:r>
        <w:rPr>
          <w:rFonts w:hint="eastAsia" w:ascii="仿宋" w:hAnsi="仿宋" w:eastAsia="仿宋"/>
          <w:color w:val="auto"/>
          <w:sz w:val="30"/>
          <w:szCs w:val="30"/>
          <w:lang w:eastAsia="zh-CN"/>
        </w:rPr>
        <w:t>0</w:t>
      </w:r>
      <w:r>
        <w:rPr>
          <w:rFonts w:hint="eastAsia" w:ascii="仿宋" w:hAnsi="仿宋" w:eastAsia="仿宋"/>
          <w:color w:val="auto"/>
          <w:sz w:val="30"/>
          <w:szCs w:val="30"/>
        </w:rPr>
        <w:t>万元，其中：政府采购货物支出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万元、政府采购工程支出</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万元、政府采购服务支出  </w:t>
      </w:r>
      <w:r>
        <w:rPr>
          <w:rFonts w:hint="eastAsia" w:ascii="仿宋" w:hAnsi="仿宋" w:eastAsia="仿宋"/>
          <w:color w:val="auto"/>
          <w:sz w:val="30"/>
          <w:szCs w:val="30"/>
          <w:lang w:eastAsia="zh-CN"/>
        </w:rPr>
        <w:t>0</w:t>
      </w:r>
      <w:r>
        <w:rPr>
          <w:rFonts w:hint="eastAsia" w:ascii="仿宋" w:hAnsi="仿宋" w:eastAsia="仿宋"/>
          <w:color w:val="auto"/>
          <w:sz w:val="30"/>
          <w:szCs w:val="30"/>
        </w:rPr>
        <w:t>万元。授予中小企业合同金额</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万元，占政府采购支出总额的  </w:t>
      </w:r>
      <w:r>
        <w:rPr>
          <w:rFonts w:hint="eastAsia" w:ascii="仿宋" w:hAnsi="仿宋" w:eastAsia="仿宋"/>
          <w:color w:val="auto"/>
          <w:sz w:val="30"/>
          <w:szCs w:val="30"/>
          <w:lang w:eastAsia="zh-CN"/>
        </w:rPr>
        <w:t>0</w:t>
      </w:r>
      <w:r>
        <w:rPr>
          <w:rFonts w:hint="eastAsia" w:ascii="仿宋" w:hAnsi="仿宋" w:eastAsia="仿宋"/>
          <w:color w:val="auto"/>
          <w:sz w:val="30"/>
          <w:szCs w:val="30"/>
        </w:rPr>
        <w:t>%，其中：授予小微企业合同金额</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b/>
          <w:bCs/>
          <w:color w:val="FF0000"/>
          <w:sz w:val="30"/>
          <w:szCs w:val="30"/>
        </w:rPr>
        <w:t>授予中小企业合同金额</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w:t>
      </w:r>
      <w:r>
        <w:rPr>
          <w:rFonts w:hint="eastAsia" w:ascii="仿宋" w:hAnsi="仿宋" w:eastAsia="仿宋"/>
          <w:color w:val="auto"/>
          <w:sz w:val="30"/>
          <w:szCs w:val="30"/>
          <w:lang w:eastAsia="zh-CN"/>
        </w:rPr>
        <w:t>；货物采购授予中小企业合同金额占货物支出金额的    0%，工程采购授予中小企业合同金额占工程支出金额的0 %，服务采购授予中小企业合同金额占服务支出金额的0 %。</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八、国有资产占用情况说明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截止202</w:t>
      </w:r>
      <w:r>
        <w:rPr>
          <w:rFonts w:hint="eastAsia" w:ascii="仿宋" w:hAnsi="仿宋" w:eastAsia="仿宋"/>
          <w:color w:val="auto"/>
          <w:sz w:val="30"/>
          <w:szCs w:val="30"/>
          <w:lang w:eastAsia="zh-CN"/>
        </w:rPr>
        <w:t>2</w:t>
      </w:r>
      <w:r>
        <w:rPr>
          <w:rFonts w:hint="eastAsia" w:ascii="仿宋" w:hAnsi="仿宋" w:eastAsia="仿宋"/>
          <w:color w:val="auto"/>
          <w:sz w:val="30"/>
          <w:szCs w:val="30"/>
        </w:rPr>
        <w:t>年12月31日，本</w:t>
      </w:r>
      <w:r>
        <w:rPr>
          <w:rFonts w:hint="eastAsia" w:ascii="仿宋" w:hAnsi="仿宋" w:eastAsia="仿宋"/>
          <w:color w:val="auto"/>
          <w:sz w:val="30"/>
          <w:szCs w:val="30"/>
          <w:lang w:eastAsia="zh-CN"/>
        </w:rPr>
        <w:t>单位</w:t>
      </w:r>
      <w:r>
        <w:rPr>
          <w:rFonts w:hint="eastAsia" w:ascii="仿宋" w:hAnsi="仿宋" w:eastAsia="仿宋"/>
          <w:color w:val="auto"/>
          <w:sz w:val="30"/>
          <w:szCs w:val="30"/>
        </w:rPr>
        <w:t>国有资产占用情况见</w:t>
      </w:r>
      <w:r>
        <w:rPr>
          <w:rFonts w:hint="eastAsia" w:ascii="仿宋" w:hAnsi="仿宋" w:eastAsia="仿宋"/>
          <w:color w:val="auto"/>
          <w:sz w:val="30"/>
          <w:szCs w:val="30"/>
          <w:lang w:eastAsia="zh-CN"/>
        </w:rPr>
        <w:t>公开10</w:t>
      </w:r>
      <w:r>
        <w:rPr>
          <w:rFonts w:hint="eastAsia" w:ascii="仿宋" w:hAnsi="仿宋" w:eastAsia="仿宋"/>
          <w:color w:val="auto"/>
          <w:sz w:val="30"/>
          <w:szCs w:val="30"/>
        </w:rPr>
        <w:t>表《国有资产占用情况表》。。</w:t>
      </w:r>
    </w:p>
    <w:p>
      <w:pPr>
        <w:spacing w:line="600" w:lineRule="exact"/>
        <w:ind w:firstLine="600" w:firstLineChars="200"/>
        <w:jc w:val="both"/>
        <w:rPr>
          <w:rFonts w:ascii="仿宋" w:hAnsi="仿宋" w:eastAsia="仿宋"/>
          <w:color w:val="auto"/>
          <w:sz w:val="30"/>
          <w:szCs w:val="30"/>
          <w:lang w:eastAsia="zh-CN"/>
        </w:rPr>
      </w:pPr>
      <w:r>
        <w:rPr>
          <w:rFonts w:hint="eastAsia" w:ascii="仿宋" w:hAnsi="仿宋" w:eastAsia="仿宋"/>
          <w:color w:val="auto"/>
          <w:sz w:val="30"/>
          <w:szCs w:val="30"/>
        </w:rPr>
        <w:t>九、预算绩效</w:t>
      </w:r>
      <w:r>
        <w:rPr>
          <w:rFonts w:hint="eastAsia" w:ascii="仿宋" w:hAnsi="仿宋" w:eastAsia="仿宋"/>
          <w:color w:val="FF0000"/>
          <w:sz w:val="30"/>
          <w:szCs w:val="30"/>
          <w:lang w:eastAsia="zh-CN"/>
        </w:rPr>
        <w:t>评价</w:t>
      </w:r>
      <w:r>
        <w:rPr>
          <w:rFonts w:hint="eastAsia" w:ascii="仿宋" w:hAnsi="仿宋" w:eastAsia="仿宋"/>
          <w:color w:val="auto"/>
          <w:sz w:val="30"/>
          <w:szCs w:val="30"/>
        </w:rPr>
        <w:t>情况说明</w:t>
      </w:r>
    </w:p>
    <w:p>
      <w:pPr>
        <w:spacing w:line="600" w:lineRule="exact"/>
        <w:ind w:firstLine="600" w:firstLineChars="200"/>
        <w:jc w:val="both"/>
        <w:rPr>
          <w:rFonts w:ascii="仿宋" w:hAnsi="仿宋" w:eastAsia="仿宋" w:cs="仿宋_GB2312"/>
          <w:color w:val="auto"/>
          <w:sz w:val="30"/>
          <w:szCs w:val="30"/>
        </w:rPr>
      </w:pPr>
      <w:r>
        <w:rPr>
          <w:rFonts w:hint="eastAsia" w:ascii="仿宋" w:hAnsi="仿宋" w:eastAsia="仿宋" w:cs="仿宋_GB2312"/>
          <w:color w:val="auto"/>
          <w:sz w:val="30"/>
          <w:szCs w:val="30"/>
        </w:rPr>
        <w:t>（一）绩效</w:t>
      </w:r>
      <w:r>
        <w:rPr>
          <w:rFonts w:hint="eastAsia" w:ascii="仿宋" w:hAnsi="仿宋" w:eastAsia="仿宋" w:cs="仿宋_GB2312"/>
          <w:b/>
          <w:bCs/>
          <w:color w:val="FF0000"/>
          <w:sz w:val="30"/>
          <w:szCs w:val="30"/>
          <w:lang w:eastAsia="zh-CN"/>
        </w:rPr>
        <w:t>评价</w:t>
      </w:r>
      <w:r>
        <w:rPr>
          <w:rFonts w:hint="eastAsia" w:ascii="仿宋" w:hAnsi="仿宋" w:eastAsia="仿宋" w:cs="仿宋_GB2312"/>
          <w:color w:val="auto"/>
          <w:sz w:val="30"/>
          <w:szCs w:val="30"/>
        </w:rPr>
        <w:t>工作开展情况。</w:t>
      </w:r>
    </w:p>
    <w:p>
      <w:pPr>
        <w:spacing w:line="600" w:lineRule="exact"/>
        <w:ind w:firstLine="600" w:firstLineChars="200"/>
        <w:jc w:val="both"/>
        <w:rPr>
          <w:rFonts w:ascii="仿宋" w:hAnsi="仿宋" w:eastAsia="仿宋" w:cs="仿宋_GB2312"/>
          <w:color w:val="auto"/>
          <w:sz w:val="30"/>
          <w:szCs w:val="30"/>
        </w:rPr>
      </w:pPr>
      <w:r>
        <w:rPr>
          <w:rFonts w:hint="eastAsia" w:ascii="仿宋" w:hAnsi="仿宋" w:eastAsia="仿宋" w:cs="仿宋_GB2312"/>
          <w:color w:val="auto"/>
          <w:sz w:val="30"/>
          <w:szCs w:val="30"/>
        </w:rPr>
        <w:t>我</w:t>
      </w:r>
      <w:r>
        <w:rPr>
          <w:rFonts w:hint="eastAsia" w:ascii="仿宋" w:hAnsi="仿宋" w:eastAsia="仿宋" w:cs="仿宋_GB2312"/>
          <w:color w:val="auto"/>
          <w:sz w:val="30"/>
          <w:szCs w:val="30"/>
          <w:lang w:eastAsia="zh-CN"/>
        </w:rPr>
        <w:t>单位无纳入</w:t>
      </w:r>
      <w:r>
        <w:rPr>
          <w:rFonts w:ascii="仿宋" w:hAnsi="仿宋" w:eastAsia="仿宋" w:cs="仿宋_GB2312"/>
          <w:color w:val="auto"/>
          <w:sz w:val="30"/>
          <w:szCs w:val="30"/>
        </w:rPr>
        <w:t>20</w:t>
      </w:r>
      <w:r>
        <w:rPr>
          <w:rFonts w:hint="eastAsia" w:ascii="仿宋" w:hAnsi="仿宋" w:eastAsia="仿宋" w:cs="仿宋_GB2312"/>
          <w:color w:val="auto"/>
          <w:sz w:val="30"/>
          <w:szCs w:val="30"/>
        </w:rPr>
        <w:t>2</w:t>
      </w:r>
      <w:r>
        <w:rPr>
          <w:rFonts w:hint="eastAsia" w:ascii="仿宋" w:hAnsi="仿宋" w:eastAsia="仿宋" w:cs="仿宋_GB2312"/>
          <w:color w:val="auto"/>
          <w:sz w:val="30"/>
          <w:szCs w:val="30"/>
          <w:lang w:eastAsia="zh-CN"/>
        </w:rPr>
        <w:t>2</w:t>
      </w:r>
      <w:r>
        <w:rPr>
          <w:rFonts w:hint="eastAsia" w:ascii="仿宋" w:hAnsi="仿宋" w:eastAsia="仿宋" w:cs="仿宋_GB2312"/>
          <w:color w:val="auto"/>
          <w:sz w:val="30"/>
          <w:szCs w:val="30"/>
        </w:rPr>
        <w:t>年度</w:t>
      </w:r>
      <w:r>
        <w:rPr>
          <w:rFonts w:hint="eastAsia" w:ascii="仿宋" w:hAnsi="仿宋" w:eastAsia="仿宋" w:cs="仿宋_GB2312"/>
          <w:color w:val="auto"/>
          <w:sz w:val="30"/>
          <w:szCs w:val="30"/>
          <w:lang w:eastAsia="zh-CN"/>
        </w:rPr>
        <w:t>部门预算范围的二级项目</w:t>
      </w:r>
      <w:r>
        <w:rPr>
          <w:rFonts w:hint="eastAsia" w:ascii="仿宋" w:hAnsi="仿宋" w:eastAsia="仿宋" w:cs="仿宋_GB2312"/>
          <w:color w:val="auto"/>
          <w:sz w:val="30"/>
          <w:szCs w:val="30"/>
        </w:rPr>
        <w:t xml:space="preserve">。    </w:t>
      </w:r>
    </w:p>
    <w:p>
      <w:pPr>
        <w:spacing w:line="600" w:lineRule="exact"/>
        <w:ind w:firstLine="600" w:firstLineChars="200"/>
        <w:jc w:val="both"/>
        <w:rPr>
          <w:rFonts w:hint="eastAsia" w:ascii="仿宋" w:hAnsi="仿宋" w:eastAsia="仿宋" w:cs="仿宋_GB2312"/>
          <w:color w:val="auto"/>
          <w:sz w:val="30"/>
          <w:szCs w:val="30"/>
          <w:lang w:eastAsia="zh-CN"/>
        </w:rPr>
      </w:pPr>
      <w:r>
        <w:rPr>
          <w:rFonts w:hint="eastAsia" w:ascii="仿宋" w:hAnsi="仿宋" w:eastAsia="仿宋" w:cs="仿宋_GB2312"/>
          <w:color w:val="auto"/>
          <w:sz w:val="30"/>
          <w:szCs w:val="30"/>
          <w:lang w:eastAsia="zh-CN"/>
        </w:rPr>
        <w:t>（二）单位</w:t>
      </w:r>
      <w:r>
        <w:rPr>
          <w:rFonts w:hint="eastAsia" w:ascii="仿宋" w:hAnsi="仿宋" w:eastAsia="仿宋" w:cs="仿宋_GB2312"/>
          <w:color w:val="auto"/>
          <w:sz w:val="30"/>
          <w:szCs w:val="30"/>
        </w:rPr>
        <w:t>决算中项目绩效自评</w:t>
      </w:r>
      <w:r>
        <w:rPr>
          <w:rFonts w:hint="eastAsia" w:ascii="仿宋" w:hAnsi="仿宋" w:eastAsia="仿宋" w:cs="仿宋_GB2312"/>
          <w:color w:val="auto"/>
          <w:sz w:val="30"/>
          <w:szCs w:val="30"/>
          <w:lang w:eastAsia="zh-CN"/>
        </w:rPr>
        <w:t>结果</w:t>
      </w:r>
      <w:r>
        <w:rPr>
          <w:rFonts w:hint="eastAsia" w:ascii="仿宋" w:hAnsi="仿宋" w:eastAsia="仿宋" w:cs="仿宋_GB2312"/>
          <w:color w:val="auto"/>
          <w:sz w:val="30"/>
          <w:szCs w:val="30"/>
        </w:rPr>
        <w:t>。</w:t>
      </w:r>
    </w:p>
    <w:p>
      <w:pPr>
        <w:spacing w:line="600" w:lineRule="exact"/>
        <w:ind w:firstLine="600" w:firstLineChars="200"/>
        <w:jc w:val="both"/>
        <w:rPr>
          <w:rFonts w:ascii="仿宋" w:hAnsi="仿宋" w:eastAsia="仿宋" w:cs="仿宋_GB2312"/>
          <w:color w:val="auto"/>
          <w:sz w:val="30"/>
          <w:szCs w:val="30"/>
          <w:lang w:eastAsia="zh-CN"/>
        </w:rPr>
      </w:pPr>
      <w:r>
        <w:rPr>
          <w:rFonts w:hint="eastAsia" w:ascii="仿宋" w:hAnsi="仿宋" w:eastAsia="仿宋" w:cs="仿宋_GB2312"/>
          <w:color w:val="auto"/>
          <w:sz w:val="30"/>
          <w:szCs w:val="30"/>
        </w:rPr>
        <w:t>我</w:t>
      </w:r>
      <w:r>
        <w:rPr>
          <w:rFonts w:hint="eastAsia" w:ascii="仿宋" w:hAnsi="仿宋" w:eastAsia="仿宋" w:cs="仿宋_GB2312"/>
          <w:color w:val="auto"/>
          <w:sz w:val="30"/>
          <w:szCs w:val="30"/>
          <w:lang w:eastAsia="zh-CN"/>
        </w:rPr>
        <w:t>单位无纳入</w:t>
      </w:r>
      <w:r>
        <w:rPr>
          <w:rFonts w:ascii="仿宋" w:hAnsi="仿宋" w:eastAsia="仿宋" w:cs="仿宋_GB2312"/>
          <w:color w:val="auto"/>
          <w:sz w:val="30"/>
          <w:szCs w:val="30"/>
        </w:rPr>
        <w:t>20</w:t>
      </w:r>
      <w:r>
        <w:rPr>
          <w:rFonts w:hint="eastAsia" w:ascii="仿宋" w:hAnsi="仿宋" w:eastAsia="仿宋" w:cs="仿宋_GB2312"/>
          <w:color w:val="auto"/>
          <w:sz w:val="30"/>
          <w:szCs w:val="30"/>
        </w:rPr>
        <w:t>2</w:t>
      </w:r>
      <w:r>
        <w:rPr>
          <w:rFonts w:hint="eastAsia" w:ascii="仿宋" w:hAnsi="仿宋" w:eastAsia="仿宋" w:cs="仿宋_GB2312"/>
          <w:color w:val="auto"/>
          <w:sz w:val="30"/>
          <w:szCs w:val="30"/>
          <w:lang w:eastAsia="zh-CN"/>
        </w:rPr>
        <w:t>2</w:t>
      </w:r>
      <w:r>
        <w:rPr>
          <w:rFonts w:hint="eastAsia" w:ascii="仿宋" w:hAnsi="仿宋" w:eastAsia="仿宋" w:cs="仿宋_GB2312"/>
          <w:color w:val="auto"/>
          <w:sz w:val="30"/>
          <w:szCs w:val="30"/>
        </w:rPr>
        <w:t>年度</w:t>
      </w:r>
      <w:r>
        <w:rPr>
          <w:rFonts w:hint="eastAsia" w:ascii="仿宋" w:hAnsi="仿宋" w:eastAsia="仿宋" w:cs="仿宋_GB2312"/>
          <w:color w:val="auto"/>
          <w:sz w:val="30"/>
          <w:szCs w:val="30"/>
          <w:lang w:eastAsia="zh-CN"/>
        </w:rPr>
        <w:t>部门预算范围的二级项目</w:t>
      </w:r>
      <w:r>
        <w:rPr>
          <w:rFonts w:hint="eastAsia" w:ascii="仿宋" w:hAnsi="仿宋" w:eastAsia="仿宋" w:cs="仿宋_GB2312"/>
          <w:color w:val="auto"/>
          <w:sz w:val="30"/>
          <w:szCs w:val="30"/>
        </w:rPr>
        <w:t>。</w:t>
      </w:r>
    </w:p>
    <w:p>
      <w:pPr>
        <w:spacing w:line="360" w:lineRule="auto"/>
        <w:jc w:val="center"/>
        <w:rPr>
          <w:rFonts w:hint="eastAsia" w:ascii="仿宋" w:hAnsi="仿宋" w:eastAsia="仿宋" w:cs="黑体"/>
          <w:b/>
          <w:bCs/>
          <w:sz w:val="32"/>
          <w:szCs w:val="32"/>
          <w:lang w:eastAsia="zh-CN"/>
        </w:rPr>
      </w:pPr>
    </w:p>
    <w:p>
      <w:pPr>
        <w:spacing w:line="360" w:lineRule="auto"/>
        <w:jc w:val="center"/>
        <w:rPr>
          <w:rFonts w:hint="eastAsia" w:ascii="仿宋" w:hAnsi="仿宋" w:eastAsia="仿宋" w:cs="黑体"/>
          <w:b/>
          <w:bCs/>
          <w:sz w:val="32"/>
          <w:szCs w:val="32"/>
          <w:lang w:eastAsia="zh-CN"/>
        </w:rPr>
      </w:pPr>
    </w:p>
    <w:p>
      <w:pPr>
        <w:spacing w:line="360" w:lineRule="auto"/>
        <w:jc w:val="center"/>
        <w:rPr>
          <w:rFonts w:ascii="仿宋" w:hAnsi="仿宋" w:eastAsia="仿宋" w:cs="黑体"/>
          <w:b/>
          <w:bCs/>
          <w:sz w:val="32"/>
          <w:szCs w:val="32"/>
          <w:lang w:eastAsia="zh-CN"/>
        </w:rPr>
      </w:pPr>
      <w:r>
        <w:rPr>
          <w:rFonts w:hint="eastAsia" w:ascii="仿宋" w:hAnsi="仿宋" w:eastAsia="仿宋" w:cs="黑体"/>
          <w:b/>
          <w:bCs/>
          <w:sz w:val="32"/>
          <w:szCs w:val="32"/>
          <w:lang w:eastAsia="zh-CN"/>
        </w:rPr>
        <w:t>第四部分  名词解释</w:t>
      </w:r>
    </w:p>
    <w:p>
      <w:pPr>
        <w:spacing w:line="360" w:lineRule="auto"/>
        <w:jc w:val="center"/>
        <w:rPr>
          <w:rFonts w:ascii="仿宋" w:hAnsi="仿宋" w:eastAsia="仿宋" w:cs="黑体"/>
          <w:b/>
          <w:bCs/>
          <w:sz w:val="32"/>
          <w:szCs w:val="32"/>
          <w:lang w:eastAsia="zh-CN"/>
        </w:rPr>
      </w:pP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1、基本支出：是指预算单位为保障其机构正常运转、完成日常工作任务而需要发生的支出，包括人员经费和日常公用经费两部分。</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2、项目支出：是指预算</w:t>
      </w:r>
      <w:r>
        <w:rPr>
          <w:rFonts w:ascii="仿宋" w:hAnsi="仿宋" w:eastAsia="仿宋"/>
          <w:sz w:val="32"/>
          <w:szCs w:val="32"/>
          <w:lang w:eastAsia="zh-CN"/>
        </w:rPr>
        <w:t>单位在基本支出之外为完成其特定行政任务</w:t>
      </w:r>
      <w:r>
        <w:rPr>
          <w:rFonts w:hint="eastAsia" w:ascii="仿宋" w:hAnsi="仿宋" w:eastAsia="仿宋"/>
          <w:sz w:val="32"/>
          <w:szCs w:val="32"/>
          <w:lang w:eastAsia="zh-CN"/>
        </w:rPr>
        <w:t>或</w:t>
      </w:r>
      <w:r>
        <w:rPr>
          <w:rFonts w:ascii="仿宋" w:hAnsi="仿宋" w:eastAsia="仿宋"/>
          <w:sz w:val="32"/>
          <w:szCs w:val="32"/>
          <w:lang w:eastAsia="zh-CN"/>
        </w:rPr>
        <w:t>事业发展目标所发生的支出</w:t>
      </w:r>
      <w:r>
        <w:rPr>
          <w:rFonts w:hint="eastAsia" w:ascii="仿宋" w:hAnsi="仿宋" w:eastAsia="仿宋"/>
          <w:sz w:val="32"/>
          <w:szCs w:val="32"/>
          <w:lang w:eastAsia="zh-CN"/>
        </w:rPr>
        <w:t>。</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3、财政拨款：指县级财政当年拨付的资金。</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4、事业收入：指事业单位开展专业业务活动及辅助活动取得的收入。</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5、事业单位经营收入：指事业单位在专业业务活动及辅助活动之外开展非独立核算经营活动取得的收入。</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6、上年结转和结余：指以前年度滚存结转结余资金。</w:t>
      </w:r>
    </w:p>
    <w:p>
      <w:pPr>
        <w:spacing w:line="360" w:lineRule="auto"/>
        <w:ind w:firstLine="640"/>
        <w:rPr>
          <w:rFonts w:ascii="仿宋" w:hAnsi="仿宋" w:eastAsia="仿宋"/>
          <w:sz w:val="32"/>
          <w:szCs w:val="32"/>
          <w:lang w:eastAsia="zh-CN"/>
        </w:rPr>
      </w:pPr>
      <w:r>
        <w:rPr>
          <w:rFonts w:hint="eastAsia" w:ascii="仿宋" w:hAnsi="仿宋" w:eastAsia="仿宋"/>
          <w:sz w:val="32"/>
          <w:szCs w:val="32"/>
          <w:lang w:eastAsia="zh-CN"/>
        </w:rPr>
        <w:t>7、行政运行：反映行政单位（包括参公单位）的基本支出。</w:t>
      </w:r>
    </w:p>
    <w:p>
      <w:pPr>
        <w:spacing w:line="360" w:lineRule="auto"/>
        <w:ind w:firstLine="640"/>
        <w:rPr>
          <w:rFonts w:ascii="仿宋" w:hAnsi="仿宋" w:eastAsia="仿宋"/>
          <w:sz w:val="32"/>
          <w:szCs w:val="32"/>
          <w:lang w:eastAsia="zh-CN"/>
        </w:rPr>
      </w:pPr>
      <w:r>
        <w:rPr>
          <w:rFonts w:hint="eastAsia" w:ascii="仿宋" w:hAnsi="仿宋" w:eastAsia="仿宋"/>
          <w:sz w:val="32"/>
          <w:szCs w:val="32"/>
          <w:lang w:eastAsia="zh-CN"/>
        </w:rPr>
        <w:t>8、事业运行：反映事业单位的基本支出。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9、机关事业单位基本养老保险缴费支出：反映机关事业单位实施养老保险制度由单位缴纳的基本养老保险费支出。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10、机关事业单位职业年金缴费支出：反映机关事业单位实施养老保险制度由单位实际缴纳的职业年金支出。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11、住房公积金：反映行政事业单位按人力资源和社会保障部、财政部规定的基本工资和津补贴以及规定比例为职工缴纳的住房公积金。</w:t>
      </w:r>
    </w:p>
    <w:p>
      <w:pPr>
        <w:spacing w:line="360" w:lineRule="auto"/>
        <w:ind w:firstLine="640"/>
        <w:rPr>
          <w:rFonts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12、“三公”经费：纳入预算管理的“三公”经费，是指用财政拨款安排的因公出国（境）费、公务用车购置及运行费和公务接待费。</w:t>
      </w:r>
    </w:p>
    <w:p>
      <w:pPr>
        <w:tabs>
          <w:tab w:val="left" w:pos="657"/>
        </w:tabs>
      </w:pPr>
      <w:r>
        <w:rPr>
          <w:rFonts w:hint="eastAsia" w:ascii="仿宋" w:hAnsi="仿宋" w:eastAsia="仿宋"/>
          <w:sz w:val="30"/>
          <w:szCs w:val="30"/>
          <w:lang w:eastAsia="zh-CN"/>
        </w:rPr>
        <w:tab/>
      </w:r>
      <w:r>
        <w:rPr>
          <w:rFonts w:hint="eastAsia" w:ascii="仿宋" w:hAnsi="仿宋" w:eastAsia="仿宋"/>
          <w:sz w:val="30"/>
          <w:szCs w:val="30"/>
          <w:lang w:eastAsia="zh-CN"/>
        </w:rPr>
        <w:t>13、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CE2AD"/>
    <w:multiLevelType w:val="singleLevel"/>
    <w:tmpl w:val="EEACE2AD"/>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D7D6800"/>
    <w:rsid w:val="00035990"/>
    <w:rsid w:val="000B4D2F"/>
    <w:rsid w:val="000C5483"/>
    <w:rsid w:val="000C63A1"/>
    <w:rsid w:val="00154160"/>
    <w:rsid w:val="002A7805"/>
    <w:rsid w:val="00476A6B"/>
    <w:rsid w:val="00497A0C"/>
    <w:rsid w:val="005577F6"/>
    <w:rsid w:val="005A6015"/>
    <w:rsid w:val="009178F8"/>
    <w:rsid w:val="009E0C7D"/>
    <w:rsid w:val="00A12DD4"/>
    <w:rsid w:val="00B22B8D"/>
    <w:rsid w:val="00B601C3"/>
    <w:rsid w:val="00F878E5"/>
    <w:rsid w:val="09477CE3"/>
    <w:rsid w:val="6D7D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customStyle="1" w:styleId="5">
    <w:name w:val="p0"/>
    <w:basedOn w:val="1"/>
    <w:uiPriority w:val="0"/>
  </w:style>
  <w:style w:type="character" w:customStyle="1" w:styleId="6">
    <w:name w:val="批注框文本 Char"/>
    <w:basedOn w:val="4"/>
    <w:link w:val="2"/>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484</Words>
  <Characters>2759</Characters>
  <Lines>22</Lines>
  <Paragraphs>6</Paragraphs>
  <TotalTime>6</TotalTime>
  <ScaleCrop>false</ScaleCrop>
  <LinksUpToDate>false</LinksUpToDate>
  <CharactersWithSpaces>3237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Administrator</cp:lastModifiedBy>
  <cp:lastPrinted>2023-11-29T07:59:00Z</cp:lastPrinted>
  <dcterms:modified xsi:type="dcterms:W3CDTF">2023-11-30T01:01:20Z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B99C24C894D446108AC09710916CBC95</vt:lpwstr>
  </property>
</Properties>
</file>