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autoSpaceDE/>
        <w:autoSpaceDN/>
        <w:adjustRightInd/>
        <w:snapToGrid/>
        <w:spacing w:line="600" w:lineRule="exact"/>
        <w:textAlignment w:val="auto"/>
        <w:rPr>
          <w:rFonts w:ascii="黑体" w:hAnsi="黑体" w:eastAsia="黑体" w:cs="黑体"/>
          <w:color w:val="auto"/>
          <w:sz w:val="32"/>
          <w:szCs w:val="32"/>
          <w:lang w:eastAsia="zh-CN"/>
        </w:rPr>
      </w:pPr>
    </w:p>
    <w:p>
      <w:pPr>
        <w:kinsoku/>
        <w:autoSpaceDE/>
        <w:autoSpaceDN/>
        <w:adjustRightInd/>
        <w:snapToGrid/>
        <w:spacing w:line="600" w:lineRule="exact"/>
        <w:textAlignment w:val="auto"/>
        <w:rPr>
          <w:rFonts w:ascii="楷体" w:hAnsi="楷体" w:eastAsia="楷体" w:cs="楷体"/>
          <w:color w:val="auto"/>
          <w:sz w:val="32"/>
          <w:szCs w:val="32"/>
          <w:lang w:eastAsia="zh-CN"/>
        </w:rPr>
      </w:pPr>
    </w:p>
    <w:p>
      <w:pPr>
        <w:kinsoku/>
        <w:autoSpaceDE/>
        <w:autoSpaceDN/>
        <w:adjustRightInd/>
        <w:snapToGrid/>
        <w:spacing w:line="600" w:lineRule="exact"/>
        <w:ind w:firstLine="880" w:firstLineChars="200"/>
        <w:jc w:val="both"/>
        <w:textAlignment w:val="auto"/>
        <w:rPr>
          <w:rFonts w:ascii="方正小标宋简体" w:hAnsi="方正小标宋简体" w:eastAsia="方正小标宋简体" w:cs="方正小标宋简体"/>
          <w:color w:val="auto"/>
          <w:sz w:val="44"/>
          <w:szCs w:val="44"/>
          <w:lang w:eastAsia="zh-CN"/>
        </w:rPr>
      </w:pPr>
      <w:bookmarkStart w:id="0" w:name="_GoBack"/>
      <w:r>
        <w:rPr>
          <w:rFonts w:hint="eastAsia" w:ascii="方正小标宋简体" w:hAnsi="方正小标宋简体" w:eastAsia="方正小标宋简体" w:cs="方正小标宋简体"/>
          <w:color w:val="auto"/>
          <w:sz w:val="44"/>
          <w:szCs w:val="44"/>
          <w:lang w:eastAsia="zh-CN"/>
        </w:rPr>
        <w:t>进贤县皮肤病防治院</w:t>
      </w: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eastAsia="zh-CN"/>
        </w:rPr>
        <w:t>2</w:t>
      </w:r>
      <w:r>
        <w:rPr>
          <w:rFonts w:hint="eastAsia" w:ascii="方正小标宋简体" w:hAnsi="方正小标宋简体" w:eastAsia="方正小标宋简体" w:cs="方正小标宋简体"/>
          <w:color w:val="auto"/>
          <w:sz w:val="44"/>
          <w:szCs w:val="44"/>
        </w:rPr>
        <w:t>年度决算</w:t>
      </w:r>
    </w:p>
    <w:bookmarkEnd w:id="0"/>
    <w:p>
      <w:pPr>
        <w:kinsoku/>
        <w:autoSpaceDE/>
        <w:autoSpaceDN/>
        <w:adjustRightInd/>
        <w:snapToGrid/>
        <w:spacing w:line="600" w:lineRule="exact"/>
        <w:jc w:val="center"/>
        <w:textAlignment w:val="auto"/>
        <w:rPr>
          <w:rFonts w:ascii="黑体" w:eastAsia="黑体"/>
          <w:color w:val="auto"/>
          <w:sz w:val="32"/>
          <w:szCs w:val="32"/>
          <w:lang w:eastAsia="zh-CN"/>
        </w:rPr>
      </w:pPr>
    </w:p>
    <w:p>
      <w:pPr>
        <w:kinsoku/>
        <w:autoSpaceDE/>
        <w:autoSpaceDN/>
        <w:adjustRightInd/>
        <w:snapToGrid/>
        <w:spacing w:line="60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目    录</w:t>
      </w:r>
    </w:p>
    <w:p>
      <w:pPr>
        <w:kinsoku/>
        <w:autoSpaceDE/>
        <w:autoSpaceDN/>
        <w:adjustRightInd/>
        <w:snapToGrid/>
        <w:spacing w:line="600" w:lineRule="exact"/>
        <w:ind w:firstLine="640"/>
        <w:textAlignment w:val="auto"/>
        <w:rPr>
          <w:rFonts w:ascii="仿宋_GB2312" w:eastAsia="仿宋_GB2312"/>
          <w:color w:val="auto"/>
          <w:sz w:val="32"/>
          <w:szCs w:val="32"/>
        </w:rPr>
      </w:pPr>
    </w:p>
    <w:p>
      <w:pPr>
        <w:kinsoku/>
        <w:autoSpaceDE/>
        <w:autoSpaceDN/>
        <w:adjustRightInd/>
        <w:snapToGrid/>
        <w:spacing w:line="600" w:lineRule="exact"/>
        <w:ind w:firstLine="640" w:firstLineChars="200"/>
        <w:jc w:val="both"/>
        <w:textAlignment w:val="auto"/>
        <w:rPr>
          <w:rFonts w:ascii="黑体" w:hAnsi="黑体" w:eastAsia="黑体" w:cs="黑体"/>
          <w:bCs/>
          <w:color w:val="auto"/>
          <w:sz w:val="32"/>
          <w:szCs w:val="32"/>
        </w:rPr>
      </w:pPr>
      <w:r>
        <w:rPr>
          <w:rFonts w:hint="eastAsia" w:ascii="黑体" w:hAnsi="黑体" w:eastAsia="黑体" w:cs="黑体"/>
          <w:bCs/>
          <w:color w:val="auto"/>
          <w:sz w:val="32"/>
          <w:szCs w:val="32"/>
        </w:rPr>
        <w:t xml:space="preserve">第一部分  </w:t>
      </w:r>
      <w:r>
        <w:rPr>
          <w:rFonts w:hint="eastAsia" w:ascii="黑体" w:hAnsi="黑体" w:eastAsia="黑体" w:cs="黑体"/>
          <w:bCs/>
          <w:color w:val="auto"/>
          <w:sz w:val="32"/>
          <w:szCs w:val="32"/>
          <w:lang w:eastAsia="zh-CN"/>
        </w:rPr>
        <w:t>单位</w:t>
      </w:r>
      <w:r>
        <w:rPr>
          <w:rFonts w:hint="eastAsia" w:ascii="黑体" w:hAnsi="黑体" w:eastAsia="黑体" w:cs="黑体"/>
          <w:bCs/>
          <w:color w:val="auto"/>
          <w:sz w:val="32"/>
          <w:szCs w:val="32"/>
        </w:rPr>
        <w:t>概况</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一、</w:t>
      </w:r>
      <w:r>
        <w:rPr>
          <w:rFonts w:hint="eastAsia" w:ascii="仿宋_GB2312" w:hAnsi="仿宋_GB2312" w:eastAsia="仿宋_GB2312"/>
          <w:color w:val="auto"/>
          <w:sz w:val="32"/>
          <w:szCs w:val="32"/>
          <w:lang w:eastAsia="zh-CN"/>
        </w:rPr>
        <w:t>单位</w:t>
      </w:r>
      <w:r>
        <w:rPr>
          <w:rFonts w:hint="eastAsia" w:ascii="仿宋_GB2312" w:hAnsi="仿宋_GB2312" w:eastAsia="仿宋_GB2312"/>
          <w:color w:val="auto"/>
          <w:sz w:val="32"/>
          <w:szCs w:val="32"/>
        </w:rPr>
        <w:t>主要职责</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rPr>
        <w:t>二、</w:t>
      </w:r>
      <w:r>
        <w:rPr>
          <w:rFonts w:hint="eastAsia" w:ascii="仿宋_GB2312" w:hAnsi="仿宋_GB2312" w:eastAsia="仿宋_GB2312" w:cs="宋体"/>
          <w:color w:val="auto"/>
          <w:sz w:val="32"/>
          <w:szCs w:val="32"/>
          <w:lang w:eastAsia="zh-CN"/>
        </w:rPr>
        <w:t>单位</w:t>
      </w:r>
      <w:r>
        <w:rPr>
          <w:rFonts w:hint="eastAsia" w:ascii="仿宋_GB2312" w:hAnsi="仿宋_GB2312" w:eastAsia="仿宋_GB2312" w:cs="宋体"/>
          <w:color w:val="auto"/>
          <w:sz w:val="32"/>
          <w:szCs w:val="32"/>
        </w:rPr>
        <w:t>基本情况</w:t>
      </w:r>
    </w:p>
    <w:p>
      <w:pPr>
        <w:kinsoku/>
        <w:autoSpaceDE/>
        <w:autoSpaceDN/>
        <w:adjustRightInd/>
        <w:snapToGrid/>
        <w:spacing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第二部分  202</w:t>
      </w:r>
      <w:r>
        <w:rPr>
          <w:rFonts w:hint="eastAsia" w:ascii="黑体" w:hAnsi="黑体" w:eastAsia="黑体"/>
          <w:color w:val="auto"/>
          <w:sz w:val="32"/>
          <w:szCs w:val="32"/>
          <w:lang w:eastAsia="zh-CN"/>
        </w:rPr>
        <w:t>2</w:t>
      </w:r>
      <w:r>
        <w:rPr>
          <w:rFonts w:hint="eastAsia" w:ascii="黑体" w:hAnsi="黑体" w:eastAsia="黑体"/>
          <w:color w:val="auto"/>
          <w:sz w:val="32"/>
          <w:szCs w:val="32"/>
        </w:rPr>
        <w:t>年度</w:t>
      </w:r>
      <w:r>
        <w:rPr>
          <w:rFonts w:hint="eastAsia" w:ascii="黑体" w:hAnsi="黑体" w:eastAsia="黑体"/>
          <w:color w:val="auto"/>
          <w:sz w:val="32"/>
          <w:szCs w:val="32"/>
          <w:lang w:eastAsia="zh-CN"/>
        </w:rPr>
        <w:t>单位</w:t>
      </w:r>
      <w:r>
        <w:rPr>
          <w:rFonts w:hint="eastAsia" w:ascii="黑体" w:hAnsi="黑体" w:eastAsia="黑体"/>
          <w:color w:val="auto"/>
          <w:sz w:val="32"/>
          <w:szCs w:val="32"/>
        </w:rPr>
        <w:t>决算表</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一、收入支出决算总表</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二、收入决算表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rPr>
        <w:t>三、支出决算表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rPr>
        <w:t>四、财政拨款收入支出决算总表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rPr>
        <w:t>五、一般公共预算财政拨款支出决算表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rPr>
        <w:t>六、一般公共预算财政拨款基本支出决算表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lang w:eastAsia="zh-CN"/>
        </w:rPr>
        <w:t>七、</w:t>
      </w:r>
      <w:r>
        <w:rPr>
          <w:rFonts w:hint="eastAsia" w:ascii="仿宋_GB2312" w:hAnsi="仿宋_GB2312" w:eastAsia="仿宋_GB2312" w:cs="宋体"/>
          <w:color w:val="auto"/>
          <w:sz w:val="32"/>
          <w:szCs w:val="32"/>
        </w:rPr>
        <w:t>政府性基金预算财政拨款收入支出决算表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lang w:eastAsia="zh-CN"/>
        </w:rPr>
        <w:t>八、国有资本经营预算财政拨款支出决算表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lang w:eastAsia="zh-CN"/>
        </w:rPr>
        <w:t>九、</w:t>
      </w:r>
      <w:r>
        <w:rPr>
          <w:rFonts w:hint="eastAsia" w:ascii="仿宋_GB2312" w:hAnsi="仿宋_GB2312" w:eastAsia="仿宋_GB2312" w:cs="宋体"/>
          <w:color w:val="auto"/>
          <w:sz w:val="32"/>
          <w:szCs w:val="32"/>
        </w:rPr>
        <w:t>财政拨款“三公”经费支出决算表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lang w:eastAsia="zh-CN"/>
        </w:rPr>
        <w:t>十</w:t>
      </w:r>
      <w:r>
        <w:rPr>
          <w:rFonts w:hint="eastAsia" w:ascii="仿宋_GB2312" w:hAnsi="仿宋_GB2312" w:eastAsia="仿宋_GB2312" w:cs="宋体"/>
          <w:color w:val="auto"/>
          <w:sz w:val="32"/>
          <w:szCs w:val="32"/>
        </w:rPr>
        <w:t>、国有资产占用情况表</w:t>
      </w:r>
    </w:p>
    <w:p>
      <w:pPr>
        <w:kinsoku/>
        <w:autoSpaceDE/>
        <w:autoSpaceDN/>
        <w:adjustRightInd/>
        <w:snapToGrid/>
        <w:spacing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第三部分  202</w:t>
      </w:r>
      <w:r>
        <w:rPr>
          <w:rFonts w:hint="eastAsia" w:ascii="黑体" w:hAnsi="黑体" w:eastAsia="黑体"/>
          <w:color w:val="auto"/>
          <w:sz w:val="32"/>
          <w:szCs w:val="32"/>
          <w:lang w:eastAsia="zh-CN"/>
        </w:rPr>
        <w:t>2</w:t>
      </w:r>
      <w:r>
        <w:rPr>
          <w:rFonts w:hint="eastAsia" w:ascii="黑体" w:hAnsi="黑体" w:eastAsia="黑体"/>
          <w:color w:val="auto"/>
          <w:sz w:val="32"/>
          <w:szCs w:val="32"/>
        </w:rPr>
        <w:t>年度</w:t>
      </w:r>
      <w:r>
        <w:rPr>
          <w:rFonts w:hint="eastAsia" w:ascii="黑体" w:hAnsi="黑体" w:eastAsia="黑体"/>
          <w:color w:val="auto"/>
          <w:sz w:val="32"/>
          <w:szCs w:val="32"/>
          <w:lang w:eastAsia="zh-CN"/>
        </w:rPr>
        <w:t>单位</w:t>
      </w:r>
      <w:r>
        <w:rPr>
          <w:rFonts w:hint="eastAsia" w:ascii="黑体" w:hAnsi="黑体" w:eastAsia="黑体"/>
          <w:color w:val="auto"/>
          <w:sz w:val="32"/>
          <w:szCs w:val="32"/>
        </w:rPr>
        <w:t>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一、收入决算情况说明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二、支出决算情况说明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三、财政拨款支出决算情况说明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四、一般公共预算财政拨款基本支出决算情况说明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五、财政拨款“三公”经费支出决算情况说明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六、机关运行经费支出情况说明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七、政府采购支出情况说明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八、国有资产占用情况说明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九、预算绩效情况说明</w:t>
      </w:r>
    </w:p>
    <w:p>
      <w:pPr>
        <w:kinsoku/>
        <w:autoSpaceDE/>
        <w:autoSpaceDN/>
        <w:adjustRightInd/>
        <w:snapToGrid/>
        <w:spacing w:line="600" w:lineRule="exact"/>
        <w:ind w:firstLine="640" w:firstLineChars="200"/>
        <w:jc w:val="both"/>
        <w:textAlignment w:val="auto"/>
        <w:rPr>
          <w:rFonts w:ascii="仿宋_GB2312" w:hAnsi="仿宋_GB2312" w:eastAsia="仿宋_GB2312"/>
          <w:color w:val="auto"/>
          <w:sz w:val="32"/>
          <w:szCs w:val="32"/>
        </w:rPr>
      </w:pPr>
      <w:r>
        <w:rPr>
          <w:rFonts w:hint="eastAsia" w:ascii="黑体" w:hAnsi="黑体" w:eastAsia="黑体"/>
          <w:color w:val="auto"/>
          <w:sz w:val="32"/>
          <w:szCs w:val="32"/>
        </w:rPr>
        <w:t>第四部分  名词解释</w:t>
      </w:r>
    </w:p>
    <w:p>
      <w:pPr>
        <w:kinsoku/>
        <w:autoSpaceDE/>
        <w:autoSpaceDN/>
        <w:adjustRightInd/>
        <w:snapToGrid/>
        <w:spacing w:line="600" w:lineRule="exact"/>
        <w:jc w:val="center"/>
        <w:textAlignment w:val="auto"/>
        <w:rPr>
          <w:rFonts w:ascii="宋体" w:hAnsi="宋体"/>
          <w:b/>
          <w:color w:val="auto"/>
          <w:sz w:val="32"/>
          <w:szCs w:val="32"/>
        </w:rPr>
      </w:pPr>
      <w:r>
        <w:rPr>
          <w:rFonts w:hint="eastAsia" w:ascii="宋体" w:hAnsi="宋体"/>
          <w:b/>
          <w:color w:val="auto"/>
          <w:sz w:val="32"/>
          <w:szCs w:val="32"/>
        </w:rPr>
        <w:br w:type="page"/>
      </w:r>
    </w:p>
    <w:p>
      <w:pPr>
        <w:kinsoku/>
        <w:autoSpaceDE/>
        <w:autoSpaceDN/>
        <w:adjustRightInd/>
        <w:snapToGrid/>
        <w:spacing w:line="600" w:lineRule="exact"/>
        <w:jc w:val="center"/>
        <w:textAlignment w:val="auto"/>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 xml:space="preserve">第一部分  </w:t>
      </w:r>
      <w:r>
        <w:rPr>
          <w:rFonts w:hint="eastAsia" w:ascii="方正小标宋简体" w:hAnsi="方正小标宋简体" w:eastAsia="方正小标宋简体" w:cs="方正小标宋简体"/>
          <w:bCs/>
          <w:color w:val="auto"/>
          <w:sz w:val="44"/>
          <w:szCs w:val="44"/>
          <w:lang w:eastAsia="zh-CN"/>
        </w:rPr>
        <w:t>单位</w:t>
      </w:r>
      <w:r>
        <w:rPr>
          <w:rFonts w:hint="eastAsia" w:ascii="方正小标宋简体" w:hAnsi="方正小标宋简体" w:eastAsia="方正小标宋简体" w:cs="方正小标宋简体"/>
          <w:bCs/>
          <w:color w:val="auto"/>
          <w:sz w:val="44"/>
          <w:szCs w:val="44"/>
        </w:rPr>
        <w:t>概况</w:t>
      </w:r>
    </w:p>
    <w:p>
      <w:pPr>
        <w:kinsoku/>
        <w:autoSpaceDE/>
        <w:autoSpaceDN/>
        <w:adjustRightInd/>
        <w:snapToGrid/>
        <w:spacing w:line="600" w:lineRule="exact"/>
        <w:ind w:firstLine="630"/>
        <w:jc w:val="center"/>
        <w:textAlignment w:val="auto"/>
        <w:rPr>
          <w:color w:val="auto"/>
          <w:sz w:val="32"/>
          <w:szCs w:val="32"/>
        </w:rPr>
      </w:pPr>
    </w:p>
    <w:p>
      <w:pPr>
        <w:kinsoku/>
        <w:autoSpaceDE/>
        <w:autoSpaceDN/>
        <w:adjustRightInd/>
        <w:snapToGrid/>
        <w:spacing w:line="600" w:lineRule="exact"/>
        <w:ind w:firstLine="630"/>
        <w:jc w:val="both"/>
        <w:textAlignment w:val="auto"/>
        <w:rPr>
          <w:rFonts w:ascii="仿宋" w:hAnsi="仿宋" w:eastAsia="仿宋"/>
          <w:color w:val="auto"/>
          <w:sz w:val="30"/>
          <w:szCs w:val="30"/>
          <w:lang w:eastAsia="zh-CN"/>
        </w:rPr>
      </w:pPr>
      <w:r>
        <w:rPr>
          <w:rFonts w:hint="eastAsia" w:ascii="仿宋" w:hAnsi="仿宋" w:eastAsia="仿宋"/>
          <w:color w:val="auto"/>
          <w:sz w:val="30"/>
          <w:szCs w:val="30"/>
        </w:rPr>
        <w:t>一、</w:t>
      </w:r>
      <w:r>
        <w:rPr>
          <w:rFonts w:hint="eastAsia" w:ascii="仿宋" w:hAnsi="仿宋" w:eastAsia="仿宋"/>
          <w:color w:val="auto"/>
          <w:sz w:val="30"/>
          <w:szCs w:val="30"/>
          <w:lang w:eastAsia="zh-CN"/>
        </w:rPr>
        <w:t>单位</w:t>
      </w:r>
      <w:r>
        <w:rPr>
          <w:rFonts w:hint="eastAsia" w:ascii="仿宋" w:hAnsi="仿宋" w:eastAsia="仿宋"/>
          <w:color w:val="auto"/>
          <w:sz w:val="30"/>
          <w:szCs w:val="30"/>
        </w:rPr>
        <w:t>主要职</w:t>
      </w:r>
      <w:r>
        <w:rPr>
          <w:rFonts w:hint="eastAsia" w:ascii="仿宋" w:hAnsi="仿宋" w:eastAsia="仿宋"/>
          <w:color w:val="auto"/>
          <w:sz w:val="30"/>
          <w:szCs w:val="30"/>
          <w:lang w:eastAsia="zh-CN"/>
        </w:rPr>
        <w:t>责</w:t>
      </w:r>
    </w:p>
    <w:p>
      <w:pPr>
        <w:rPr>
          <w:rFonts w:ascii="仿宋" w:hAnsi="仿宋" w:eastAsia="仿宋"/>
          <w:sz w:val="30"/>
          <w:szCs w:val="30"/>
        </w:rPr>
      </w:pPr>
      <w:r>
        <w:rPr>
          <w:rFonts w:hint="eastAsia" w:ascii="仿宋" w:hAnsi="仿宋" w:eastAsia="仿宋"/>
          <w:color w:val="auto"/>
          <w:sz w:val="30"/>
          <w:szCs w:val="30"/>
        </w:rPr>
        <w:t>（一）</w:t>
      </w:r>
      <w:r>
        <w:rPr>
          <w:rFonts w:ascii="仿宋" w:hAnsi="仿宋" w:eastAsia="仿宋"/>
          <w:color w:val="212529"/>
          <w:sz w:val="30"/>
          <w:szCs w:val="30"/>
          <w:shd w:val="clear" w:color="auto" w:fill="FFFFFF"/>
        </w:rPr>
        <w:t>主要职能:</w:t>
      </w:r>
      <w:r>
        <w:rPr>
          <w:rFonts w:hint="eastAsia" w:ascii="仿宋" w:hAnsi="仿宋" w:eastAsia="仿宋"/>
          <w:b/>
          <w:bCs/>
          <w:sz w:val="30"/>
          <w:szCs w:val="30"/>
        </w:rPr>
        <w:t xml:space="preserve"> </w:t>
      </w:r>
      <w:r>
        <w:rPr>
          <w:rFonts w:hint="eastAsia" w:ascii="仿宋" w:hAnsi="仿宋" w:eastAsia="仿宋"/>
          <w:sz w:val="30"/>
          <w:szCs w:val="30"/>
        </w:rPr>
        <w:t>为控制皮肤病、性病、麻风病提供防治保障，以及咨询研究技术指导</w:t>
      </w:r>
    </w:p>
    <w:p>
      <w:pPr>
        <w:rPr>
          <w:rFonts w:ascii="仿宋" w:hAnsi="仿宋" w:eastAsia="仿宋"/>
          <w:color w:val="auto"/>
          <w:sz w:val="30"/>
          <w:szCs w:val="30"/>
        </w:rPr>
      </w:pPr>
      <w:r>
        <w:rPr>
          <w:rFonts w:hint="eastAsia" w:ascii="仿宋" w:hAnsi="仿宋" w:eastAsia="仿宋"/>
          <w:color w:val="auto"/>
          <w:sz w:val="30"/>
          <w:szCs w:val="30"/>
        </w:rPr>
        <w:t>（二）</w:t>
      </w:r>
      <w:r>
        <w:rPr>
          <w:rFonts w:ascii="仿宋" w:hAnsi="仿宋" w:eastAsia="仿宋"/>
          <w:color w:val="212529"/>
          <w:sz w:val="30"/>
          <w:szCs w:val="30"/>
          <w:shd w:val="clear" w:color="auto" w:fill="FFFFFF"/>
        </w:rPr>
        <w:t>社会功能:一是负</w:t>
      </w:r>
      <w:r>
        <w:rPr>
          <w:rFonts w:hint="eastAsia" w:ascii="仿宋" w:hAnsi="仿宋" w:eastAsia="仿宋"/>
          <w:color w:val="212529"/>
          <w:sz w:val="30"/>
          <w:szCs w:val="30"/>
          <w:shd w:val="clear" w:color="auto" w:fill="FFFFFF"/>
        </w:rPr>
        <w:t>责全</w:t>
      </w:r>
      <w:r>
        <w:rPr>
          <w:rFonts w:ascii="仿宋" w:hAnsi="仿宋" w:eastAsia="仿宋"/>
          <w:color w:val="212529"/>
          <w:sz w:val="30"/>
          <w:szCs w:val="30"/>
          <w:shd w:val="clear" w:color="auto" w:fill="FFFFFF"/>
        </w:rPr>
        <w:t>县麻风病的治疗和管理;二是负责各种皮肤病的防治;三是指导</w:t>
      </w:r>
      <w:r>
        <w:rPr>
          <w:rFonts w:hint="eastAsia" w:ascii="仿宋" w:hAnsi="仿宋" w:eastAsia="仿宋"/>
          <w:color w:val="212529"/>
          <w:sz w:val="30"/>
          <w:szCs w:val="30"/>
          <w:shd w:val="clear" w:color="auto" w:fill="FFFFFF"/>
        </w:rPr>
        <w:t>全</w:t>
      </w:r>
      <w:r>
        <w:rPr>
          <w:rFonts w:ascii="仿宋" w:hAnsi="仿宋" w:eastAsia="仿宋"/>
          <w:color w:val="212529"/>
          <w:sz w:val="30"/>
          <w:szCs w:val="30"/>
          <w:shd w:val="clear" w:color="auto" w:fill="FFFFFF"/>
        </w:rPr>
        <w:t>县各乡镇卫生院做好麻风病调查、预防、治疗;四是负责</w:t>
      </w:r>
      <w:r>
        <w:rPr>
          <w:rFonts w:hint="eastAsia" w:ascii="仿宋" w:hAnsi="仿宋" w:eastAsia="仿宋"/>
          <w:color w:val="212529"/>
          <w:sz w:val="30"/>
          <w:szCs w:val="30"/>
          <w:shd w:val="clear" w:color="auto" w:fill="FFFFFF"/>
        </w:rPr>
        <w:t>全</w:t>
      </w:r>
      <w:r>
        <w:rPr>
          <w:rFonts w:ascii="仿宋" w:hAnsi="仿宋" w:eastAsia="仿宋"/>
          <w:color w:val="212529"/>
          <w:sz w:val="30"/>
          <w:szCs w:val="30"/>
          <w:shd w:val="clear" w:color="auto" w:fill="FFFFFF"/>
        </w:rPr>
        <w:t>县麻风病防治知识的宣传教育工作;五是负责护送</w:t>
      </w:r>
      <w:r>
        <w:rPr>
          <w:rFonts w:hint="eastAsia" w:ascii="仿宋" w:hAnsi="仿宋" w:eastAsia="仿宋"/>
          <w:color w:val="212529"/>
          <w:sz w:val="30"/>
          <w:szCs w:val="30"/>
          <w:shd w:val="clear" w:color="auto" w:fill="FFFFFF"/>
        </w:rPr>
        <w:t>全</w:t>
      </w:r>
      <w:r>
        <w:rPr>
          <w:rFonts w:ascii="仿宋" w:hAnsi="仿宋" w:eastAsia="仿宋"/>
          <w:color w:val="212529"/>
          <w:sz w:val="30"/>
          <w:szCs w:val="30"/>
          <w:shd w:val="clear" w:color="auto" w:fill="FFFFFF"/>
        </w:rPr>
        <w:t>县麻风病人做好畸残矫正手术及康复工作;六是设立哨点医院，负责麻风病人的发现，疑似病人的确诊，核实诊断。</w:t>
      </w:r>
    </w:p>
    <w:p>
      <w:pPr>
        <w:kinsoku/>
        <w:autoSpaceDE/>
        <w:autoSpaceDN/>
        <w:adjustRightInd/>
        <w:snapToGrid/>
        <w:spacing w:line="600" w:lineRule="exact"/>
        <w:ind w:firstLine="630"/>
        <w:jc w:val="both"/>
        <w:textAlignment w:val="auto"/>
        <w:rPr>
          <w:rFonts w:ascii="仿宋" w:hAnsi="仿宋" w:eastAsia="仿宋"/>
          <w:color w:val="auto"/>
          <w:sz w:val="30"/>
          <w:szCs w:val="30"/>
        </w:rPr>
      </w:pPr>
      <w:r>
        <w:rPr>
          <w:rFonts w:hint="eastAsia" w:ascii="仿宋" w:hAnsi="仿宋" w:eastAsia="仿宋"/>
          <w:color w:val="auto"/>
          <w:sz w:val="30"/>
          <w:szCs w:val="30"/>
        </w:rPr>
        <w:t>二、</w:t>
      </w:r>
      <w:r>
        <w:rPr>
          <w:rFonts w:hint="eastAsia" w:ascii="仿宋" w:hAnsi="仿宋" w:eastAsia="仿宋"/>
          <w:color w:val="auto"/>
          <w:sz w:val="30"/>
          <w:szCs w:val="30"/>
          <w:lang w:eastAsia="zh-CN"/>
        </w:rPr>
        <w:t>单位</w:t>
      </w:r>
      <w:r>
        <w:rPr>
          <w:rFonts w:hint="eastAsia" w:ascii="仿宋" w:hAnsi="仿宋" w:eastAsia="仿宋"/>
          <w:color w:val="auto"/>
          <w:sz w:val="30"/>
          <w:szCs w:val="30"/>
        </w:rPr>
        <w:t>基本情况</w:t>
      </w:r>
    </w:p>
    <w:p>
      <w:pPr>
        <w:kinsoku/>
        <w:autoSpaceDE/>
        <w:autoSpaceDN/>
        <w:adjustRightInd/>
        <w:snapToGrid/>
        <w:spacing w:line="600" w:lineRule="exact"/>
        <w:ind w:firstLine="630"/>
        <w:jc w:val="both"/>
        <w:textAlignment w:val="auto"/>
        <w:rPr>
          <w:rFonts w:ascii="仿宋" w:hAnsi="仿宋" w:eastAsia="仿宋" w:cs="Times New Roman"/>
          <w:color w:val="auto"/>
          <w:sz w:val="30"/>
          <w:szCs w:val="30"/>
          <w:lang w:eastAsia="zh-CN"/>
        </w:rPr>
      </w:pPr>
      <w:r>
        <w:rPr>
          <w:rFonts w:hint="eastAsia" w:ascii="仿宋" w:hAnsi="仿宋" w:eastAsia="仿宋"/>
          <w:color w:val="auto"/>
          <w:sz w:val="30"/>
          <w:szCs w:val="30"/>
          <w:lang w:eastAsia="zh-CN"/>
        </w:rPr>
        <w:t>本单位设立  1  个内设机构，分别是进贤县皮肤病防治院</w:t>
      </w:r>
      <w:r>
        <w:rPr>
          <w:rFonts w:hint="eastAsia" w:ascii="仿宋" w:hAnsi="仿宋" w:eastAsia="仿宋" w:cs="Times New Roman"/>
          <w:color w:val="auto"/>
          <w:sz w:val="30"/>
          <w:szCs w:val="30"/>
          <w:lang w:eastAsia="zh-CN"/>
        </w:rPr>
        <w:t>。</w:t>
      </w:r>
    </w:p>
    <w:p>
      <w:pPr>
        <w:kinsoku/>
        <w:autoSpaceDE/>
        <w:autoSpaceDN/>
        <w:adjustRightInd/>
        <w:snapToGrid/>
        <w:spacing w:line="600" w:lineRule="exact"/>
        <w:ind w:firstLine="630"/>
        <w:jc w:val="both"/>
        <w:textAlignment w:val="auto"/>
        <w:rPr>
          <w:rFonts w:ascii="仿宋" w:hAnsi="仿宋" w:eastAsia="仿宋"/>
          <w:color w:val="auto"/>
          <w:sz w:val="30"/>
          <w:szCs w:val="30"/>
          <w:lang w:eastAsia="zh-CN"/>
        </w:rPr>
      </w:pPr>
      <w:r>
        <w:rPr>
          <w:rFonts w:hint="eastAsia" w:ascii="仿宋" w:hAnsi="仿宋" w:eastAsia="仿宋"/>
          <w:color w:val="auto"/>
          <w:sz w:val="30"/>
          <w:szCs w:val="30"/>
        </w:rPr>
        <w:t>本</w:t>
      </w:r>
      <w:r>
        <w:rPr>
          <w:rFonts w:hint="eastAsia" w:ascii="仿宋" w:hAnsi="仿宋" w:eastAsia="仿宋"/>
          <w:color w:val="auto"/>
          <w:sz w:val="30"/>
          <w:szCs w:val="30"/>
          <w:lang w:eastAsia="zh-CN"/>
        </w:rPr>
        <w:t>单位</w:t>
      </w:r>
      <w:r>
        <w:rPr>
          <w:rFonts w:hint="eastAsia" w:ascii="仿宋" w:hAnsi="仿宋" w:eastAsia="仿宋"/>
          <w:color w:val="auto"/>
          <w:sz w:val="30"/>
          <w:szCs w:val="30"/>
        </w:rPr>
        <w:t>202</w:t>
      </w:r>
      <w:r>
        <w:rPr>
          <w:rFonts w:hint="eastAsia" w:ascii="仿宋" w:hAnsi="仿宋" w:eastAsia="仿宋"/>
          <w:color w:val="auto"/>
          <w:sz w:val="30"/>
          <w:szCs w:val="30"/>
          <w:lang w:eastAsia="zh-CN"/>
        </w:rPr>
        <w:t>2</w:t>
      </w:r>
      <w:r>
        <w:rPr>
          <w:rFonts w:hint="eastAsia" w:ascii="仿宋" w:hAnsi="仿宋" w:eastAsia="仿宋"/>
          <w:color w:val="auto"/>
          <w:sz w:val="30"/>
          <w:szCs w:val="30"/>
        </w:rPr>
        <w:t xml:space="preserve">年年末实有人数 </w:t>
      </w:r>
      <w:r>
        <w:rPr>
          <w:rFonts w:hint="eastAsia" w:ascii="仿宋" w:hAnsi="仿宋" w:eastAsia="仿宋"/>
          <w:color w:val="auto"/>
          <w:sz w:val="30"/>
          <w:szCs w:val="30"/>
          <w:lang w:eastAsia="zh-CN"/>
        </w:rPr>
        <w:t>48</w:t>
      </w:r>
      <w:r>
        <w:rPr>
          <w:rFonts w:hint="eastAsia" w:ascii="仿宋" w:hAnsi="仿宋" w:eastAsia="仿宋"/>
          <w:color w:val="auto"/>
          <w:sz w:val="30"/>
          <w:szCs w:val="30"/>
        </w:rPr>
        <w:t>人，其中在职人员</w:t>
      </w:r>
      <w:r>
        <w:rPr>
          <w:rFonts w:hint="eastAsia" w:ascii="仿宋" w:hAnsi="仿宋" w:eastAsia="仿宋"/>
          <w:color w:val="auto"/>
          <w:sz w:val="30"/>
          <w:szCs w:val="30"/>
          <w:lang w:eastAsia="zh-CN"/>
        </w:rPr>
        <w:t>31</w:t>
      </w:r>
      <w:r>
        <w:rPr>
          <w:rFonts w:hint="eastAsia" w:ascii="仿宋" w:hAnsi="仿宋" w:eastAsia="仿宋"/>
          <w:color w:val="auto"/>
          <w:sz w:val="30"/>
          <w:szCs w:val="30"/>
        </w:rPr>
        <w:t xml:space="preserve">  人，离休人员  </w:t>
      </w:r>
      <w:r>
        <w:rPr>
          <w:rFonts w:hint="eastAsia" w:ascii="仿宋" w:hAnsi="仿宋" w:eastAsia="仿宋"/>
          <w:color w:val="auto"/>
          <w:sz w:val="30"/>
          <w:szCs w:val="30"/>
          <w:lang w:eastAsia="zh-CN"/>
        </w:rPr>
        <w:t xml:space="preserve">0 </w:t>
      </w:r>
      <w:r>
        <w:rPr>
          <w:rFonts w:hint="eastAsia" w:ascii="仿宋" w:hAnsi="仿宋" w:eastAsia="仿宋"/>
          <w:color w:val="auto"/>
          <w:sz w:val="30"/>
          <w:szCs w:val="30"/>
        </w:rPr>
        <w:t xml:space="preserve">人，退休人员 </w:t>
      </w:r>
      <w:r>
        <w:rPr>
          <w:rFonts w:hint="eastAsia" w:ascii="仿宋" w:hAnsi="仿宋" w:eastAsia="仿宋"/>
          <w:color w:val="auto"/>
          <w:sz w:val="30"/>
          <w:szCs w:val="30"/>
          <w:lang w:eastAsia="zh-CN"/>
        </w:rPr>
        <w:t>0</w:t>
      </w:r>
      <w:r>
        <w:rPr>
          <w:rFonts w:hint="eastAsia" w:ascii="仿宋" w:hAnsi="仿宋" w:eastAsia="仿宋"/>
          <w:color w:val="auto"/>
          <w:sz w:val="30"/>
          <w:szCs w:val="30"/>
        </w:rPr>
        <w:t xml:space="preserve"> 人</w:t>
      </w:r>
      <w:r>
        <w:rPr>
          <w:rFonts w:hint="eastAsia" w:ascii="仿宋" w:hAnsi="仿宋" w:eastAsia="仿宋"/>
          <w:color w:val="auto"/>
          <w:sz w:val="30"/>
          <w:szCs w:val="30"/>
          <w:lang w:eastAsia="zh-CN"/>
        </w:rPr>
        <w:t>（不含</w:t>
      </w:r>
      <w:r>
        <w:rPr>
          <w:rFonts w:hint="eastAsia" w:ascii="仿宋" w:hAnsi="仿宋" w:eastAsia="仿宋"/>
          <w:color w:val="auto"/>
          <w:sz w:val="30"/>
          <w:szCs w:val="30"/>
        </w:rPr>
        <w:t>由养老保险基金发放养老金的离退休人员</w:t>
      </w:r>
      <w:r>
        <w:rPr>
          <w:rFonts w:hint="eastAsia" w:ascii="仿宋" w:hAnsi="仿宋" w:eastAsia="仿宋"/>
          <w:color w:val="auto"/>
          <w:sz w:val="30"/>
          <w:szCs w:val="30"/>
          <w:lang w:eastAsia="zh-CN"/>
        </w:rPr>
        <w:t>）</w:t>
      </w:r>
      <w:r>
        <w:rPr>
          <w:rFonts w:hint="eastAsia" w:ascii="仿宋" w:hAnsi="仿宋" w:eastAsia="仿宋"/>
          <w:color w:val="auto"/>
          <w:sz w:val="30"/>
          <w:szCs w:val="30"/>
        </w:rPr>
        <w:t xml:space="preserve">；年末其他人员 </w:t>
      </w:r>
      <w:r>
        <w:rPr>
          <w:rFonts w:hint="eastAsia" w:ascii="仿宋" w:hAnsi="仿宋" w:eastAsia="仿宋"/>
          <w:color w:val="auto"/>
          <w:sz w:val="30"/>
          <w:szCs w:val="30"/>
          <w:lang w:eastAsia="zh-CN"/>
        </w:rPr>
        <w:t>0</w:t>
      </w:r>
      <w:r>
        <w:rPr>
          <w:rFonts w:hint="eastAsia" w:ascii="仿宋" w:hAnsi="仿宋" w:eastAsia="仿宋"/>
          <w:color w:val="auto"/>
          <w:sz w:val="30"/>
          <w:szCs w:val="30"/>
        </w:rPr>
        <w:t xml:space="preserve"> 人；年末学生人数  </w:t>
      </w:r>
      <w:r>
        <w:rPr>
          <w:rFonts w:hint="eastAsia" w:ascii="仿宋" w:hAnsi="仿宋" w:eastAsia="仿宋"/>
          <w:color w:val="auto"/>
          <w:sz w:val="30"/>
          <w:szCs w:val="30"/>
          <w:lang w:eastAsia="zh-CN"/>
        </w:rPr>
        <w:t>0</w:t>
      </w:r>
      <w:r>
        <w:rPr>
          <w:rFonts w:hint="eastAsia" w:ascii="仿宋" w:hAnsi="仿宋" w:eastAsia="仿宋"/>
          <w:color w:val="auto"/>
          <w:sz w:val="30"/>
          <w:szCs w:val="30"/>
        </w:rPr>
        <w:t xml:space="preserve"> 人</w:t>
      </w:r>
      <w:r>
        <w:rPr>
          <w:rFonts w:hint="eastAsia" w:ascii="仿宋" w:hAnsi="仿宋" w:eastAsia="仿宋"/>
          <w:color w:val="auto"/>
          <w:sz w:val="30"/>
          <w:szCs w:val="30"/>
          <w:lang w:eastAsia="zh-CN"/>
        </w:rPr>
        <w:t>；</w:t>
      </w:r>
      <w:r>
        <w:rPr>
          <w:rFonts w:hint="eastAsia" w:ascii="仿宋" w:hAnsi="仿宋" w:eastAsia="仿宋"/>
          <w:color w:val="auto"/>
          <w:sz w:val="30"/>
          <w:szCs w:val="30"/>
        </w:rPr>
        <w:t>由养老保险基金发放养老金的离退休人员</w:t>
      </w:r>
      <w:r>
        <w:rPr>
          <w:rFonts w:hint="eastAsia" w:ascii="仿宋" w:hAnsi="仿宋" w:eastAsia="仿宋"/>
          <w:color w:val="auto"/>
          <w:sz w:val="30"/>
          <w:szCs w:val="30"/>
          <w:lang w:eastAsia="zh-CN"/>
        </w:rPr>
        <w:t xml:space="preserve"> 17 </w:t>
      </w:r>
      <w:r>
        <w:rPr>
          <w:rFonts w:hint="eastAsia" w:ascii="仿宋" w:hAnsi="仿宋" w:eastAsia="仿宋"/>
          <w:color w:val="auto"/>
          <w:sz w:val="30"/>
          <w:szCs w:val="30"/>
        </w:rPr>
        <w:t>人</w:t>
      </w:r>
      <w:r>
        <w:rPr>
          <w:rFonts w:hint="eastAsia" w:ascii="仿宋" w:hAnsi="仿宋" w:eastAsia="仿宋"/>
          <w:color w:val="auto"/>
          <w:sz w:val="30"/>
          <w:szCs w:val="30"/>
          <w:lang w:eastAsia="zh-CN"/>
        </w:rPr>
        <w:t>。</w:t>
      </w:r>
    </w:p>
    <w:p>
      <w:pPr>
        <w:kinsoku/>
        <w:autoSpaceDE/>
        <w:autoSpaceDN/>
        <w:adjustRightInd/>
        <w:snapToGrid/>
        <w:spacing w:line="600" w:lineRule="exact"/>
        <w:ind w:firstLine="640"/>
        <w:jc w:val="center"/>
        <w:textAlignment w:val="auto"/>
        <w:rPr>
          <w:rFonts w:ascii="仿宋" w:hAnsi="仿宋" w:eastAsia="仿宋"/>
          <w:b/>
          <w:color w:val="auto"/>
          <w:sz w:val="30"/>
          <w:szCs w:val="30"/>
        </w:rPr>
      </w:pPr>
      <w:r>
        <w:rPr>
          <w:rFonts w:hint="eastAsia" w:ascii="仿宋" w:hAnsi="仿宋" w:eastAsia="仿宋"/>
          <w:b/>
          <w:color w:val="auto"/>
          <w:sz w:val="30"/>
          <w:szCs w:val="30"/>
        </w:rPr>
        <w:br w:type="page"/>
      </w:r>
    </w:p>
    <w:p>
      <w:pPr>
        <w:kinsoku/>
        <w:autoSpaceDE/>
        <w:autoSpaceDN/>
        <w:adjustRightInd/>
        <w:snapToGrid/>
        <w:spacing w:line="600" w:lineRule="exact"/>
        <w:jc w:val="center"/>
        <w:textAlignment w:val="auto"/>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第二部分  202</w:t>
      </w:r>
      <w:r>
        <w:rPr>
          <w:rFonts w:hint="eastAsia" w:ascii="方正小标宋简体" w:hAnsi="方正小标宋简体" w:eastAsia="方正小标宋简体" w:cs="方正小标宋简体"/>
          <w:bCs/>
          <w:color w:val="auto"/>
          <w:sz w:val="44"/>
          <w:szCs w:val="44"/>
          <w:lang w:eastAsia="zh-CN"/>
        </w:rPr>
        <w:t>2</w:t>
      </w:r>
      <w:r>
        <w:rPr>
          <w:rFonts w:hint="eastAsia" w:ascii="方正小标宋简体" w:hAnsi="方正小标宋简体" w:eastAsia="方正小标宋简体" w:cs="方正小标宋简体"/>
          <w:bCs/>
          <w:color w:val="auto"/>
          <w:sz w:val="44"/>
          <w:szCs w:val="44"/>
        </w:rPr>
        <w:t>年度</w:t>
      </w:r>
      <w:r>
        <w:rPr>
          <w:rFonts w:hint="eastAsia" w:ascii="方正小标宋简体" w:hAnsi="方正小标宋简体" w:eastAsia="方正小标宋简体" w:cs="方正小标宋简体"/>
          <w:bCs/>
          <w:color w:val="auto"/>
          <w:sz w:val="44"/>
          <w:szCs w:val="44"/>
          <w:lang w:eastAsia="zh-CN"/>
        </w:rPr>
        <w:t>单位</w:t>
      </w:r>
      <w:r>
        <w:rPr>
          <w:rFonts w:hint="eastAsia" w:ascii="方正小标宋简体" w:hAnsi="方正小标宋简体" w:eastAsia="方正小标宋简体" w:cs="方正小标宋简体"/>
          <w:bCs/>
          <w:color w:val="auto"/>
          <w:sz w:val="44"/>
          <w:szCs w:val="44"/>
        </w:rPr>
        <w:t>决算表</w:t>
      </w:r>
    </w:p>
    <w:p>
      <w:pPr>
        <w:spacing w:line="360" w:lineRule="auto"/>
        <w:rPr>
          <w:color w:val="auto"/>
          <w:szCs w:val="30"/>
        </w:rPr>
      </w:pPr>
    </w:p>
    <w:p>
      <w:pPr>
        <w:spacing w:line="360" w:lineRule="auto"/>
        <w:jc w:val="center"/>
        <w:rPr>
          <w:color w:val="auto"/>
        </w:rPr>
      </w:pPr>
      <w:r>
        <w:rPr>
          <w:lang w:eastAsia="zh-CN"/>
        </w:rPr>
        <w:drawing>
          <wp:inline distT="0" distB="0" distL="114300" distR="114300">
            <wp:extent cx="5269865" cy="7828915"/>
            <wp:effectExtent l="0" t="0" r="6985" b="635"/>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5" cstate="print"/>
                    <a:stretch>
                      <a:fillRect/>
                    </a:stretch>
                  </pic:blipFill>
                  <pic:spPr>
                    <a:xfrm>
                      <a:off x="0" y="0"/>
                      <a:ext cx="5269865" cy="7828915"/>
                    </a:xfrm>
                    <a:prstGeom prst="rect">
                      <a:avLst/>
                    </a:prstGeom>
                    <a:noFill/>
                    <a:ln>
                      <a:noFill/>
                    </a:ln>
                  </pic:spPr>
                </pic:pic>
              </a:graphicData>
            </a:graphic>
          </wp:inline>
        </w:drawing>
      </w:r>
    </w:p>
    <w:p>
      <w:pPr>
        <w:spacing w:line="360" w:lineRule="auto"/>
        <w:rPr>
          <w:color w:val="auto"/>
        </w:rPr>
      </w:pPr>
    </w:p>
    <w:p>
      <w:pPr>
        <w:spacing w:line="360" w:lineRule="auto"/>
        <w:rPr>
          <w:rFonts w:eastAsia="宋体"/>
          <w:lang w:eastAsia="zh-CN"/>
        </w:rPr>
      </w:pPr>
    </w:p>
    <w:p>
      <w:pPr>
        <w:spacing w:line="360" w:lineRule="auto"/>
        <w:jc w:val="center"/>
        <w:rPr>
          <w:color w:val="auto"/>
        </w:rPr>
      </w:pPr>
      <w:r>
        <w:rPr>
          <w:lang w:eastAsia="zh-CN"/>
        </w:rPr>
        <w:drawing>
          <wp:inline distT="0" distB="0" distL="114300" distR="114300">
            <wp:extent cx="5476875" cy="3959225"/>
            <wp:effectExtent l="0" t="0" r="9525" b="3175"/>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6" cstate="print"/>
                    <a:stretch>
                      <a:fillRect/>
                    </a:stretch>
                  </pic:blipFill>
                  <pic:spPr>
                    <a:xfrm>
                      <a:off x="0" y="0"/>
                      <a:ext cx="5476875" cy="3959225"/>
                    </a:xfrm>
                    <a:prstGeom prst="rect">
                      <a:avLst/>
                    </a:prstGeom>
                    <a:noFill/>
                    <a:ln>
                      <a:noFill/>
                    </a:ln>
                  </pic:spPr>
                </pic:pic>
              </a:graphicData>
            </a:graphic>
          </wp:inline>
        </w:drawing>
      </w:r>
    </w:p>
    <w:p>
      <w:pPr>
        <w:spacing w:line="360" w:lineRule="auto"/>
        <w:rPr>
          <w:color w:val="auto"/>
        </w:rPr>
      </w:pPr>
    </w:p>
    <w:p>
      <w:pPr>
        <w:spacing w:line="360" w:lineRule="auto"/>
        <w:rPr>
          <w:color w:val="auto"/>
        </w:rPr>
      </w:pPr>
    </w:p>
    <w:p>
      <w:pPr>
        <w:spacing w:line="360" w:lineRule="auto"/>
        <w:rPr>
          <w:color w:val="auto"/>
        </w:rPr>
      </w:pPr>
    </w:p>
    <w:p>
      <w:pPr>
        <w:spacing w:line="360" w:lineRule="auto"/>
        <w:jc w:val="center"/>
        <w:rPr>
          <w:color w:val="auto"/>
        </w:rPr>
      </w:pPr>
      <w:r>
        <w:rPr>
          <w:lang w:eastAsia="zh-CN"/>
        </w:rPr>
        <w:drawing>
          <wp:inline distT="0" distB="0" distL="114300" distR="114300">
            <wp:extent cx="5586730" cy="3796030"/>
            <wp:effectExtent l="0" t="0" r="13970" b="1397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7" cstate="print"/>
                    <a:stretch>
                      <a:fillRect/>
                    </a:stretch>
                  </pic:blipFill>
                  <pic:spPr>
                    <a:xfrm>
                      <a:off x="0" y="0"/>
                      <a:ext cx="5586730" cy="3796030"/>
                    </a:xfrm>
                    <a:prstGeom prst="rect">
                      <a:avLst/>
                    </a:prstGeom>
                    <a:noFill/>
                    <a:ln>
                      <a:noFill/>
                    </a:ln>
                  </pic:spPr>
                </pic:pic>
              </a:graphicData>
            </a:graphic>
          </wp:inline>
        </w:drawing>
      </w:r>
    </w:p>
    <w:p>
      <w:pPr>
        <w:spacing w:line="360" w:lineRule="auto"/>
        <w:rPr>
          <w:color w:val="auto"/>
        </w:rPr>
      </w:pPr>
    </w:p>
    <w:p>
      <w:pPr>
        <w:spacing w:line="360" w:lineRule="auto"/>
        <w:rPr>
          <w:color w:val="auto"/>
        </w:rPr>
      </w:pPr>
    </w:p>
    <w:p>
      <w:pPr>
        <w:spacing w:line="360" w:lineRule="auto"/>
        <w:jc w:val="center"/>
      </w:pPr>
      <w:r>
        <w:rPr>
          <w:lang w:eastAsia="zh-CN"/>
        </w:rPr>
        <w:drawing>
          <wp:inline distT="0" distB="0" distL="114300" distR="114300">
            <wp:extent cx="5271135" cy="8023225"/>
            <wp:effectExtent l="0" t="0" r="5715" b="15875"/>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8" cstate="print"/>
                    <a:stretch>
                      <a:fillRect/>
                    </a:stretch>
                  </pic:blipFill>
                  <pic:spPr>
                    <a:xfrm>
                      <a:off x="0" y="0"/>
                      <a:ext cx="5271135" cy="8023225"/>
                    </a:xfrm>
                    <a:prstGeom prst="rect">
                      <a:avLst/>
                    </a:prstGeom>
                    <a:noFill/>
                    <a:ln>
                      <a:noFill/>
                    </a:ln>
                  </pic:spPr>
                </pic:pic>
              </a:graphicData>
            </a:graphic>
          </wp:inline>
        </w:drawing>
      </w:r>
    </w:p>
    <w:p>
      <w:pPr>
        <w:spacing w:line="360" w:lineRule="auto"/>
      </w:pPr>
    </w:p>
    <w:p>
      <w:pPr>
        <w:spacing w:line="360" w:lineRule="auto"/>
        <w:jc w:val="center"/>
      </w:pPr>
    </w:p>
    <w:p>
      <w:pPr>
        <w:spacing w:line="360" w:lineRule="auto"/>
        <w:rPr>
          <w:color w:val="auto"/>
        </w:rPr>
      </w:pPr>
      <w:r>
        <w:rPr>
          <w:lang w:eastAsia="zh-CN"/>
        </w:rPr>
        <w:drawing>
          <wp:inline distT="0" distB="0" distL="114300" distR="114300">
            <wp:extent cx="5271770" cy="7243445"/>
            <wp:effectExtent l="0" t="0" r="5080" b="14605"/>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9" cstate="print"/>
                    <a:stretch>
                      <a:fillRect/>
                    </a:stretch>
                  </pic:blipFill>
                  <pic:spPr>
                    <a:xfrm>
                      <a:off x="0" y="0"/>
                      <a:ext cx="5271770" cy="7243445"/>
                    </a:xfrm>
                    <a:prstGeom prst="rect">
                      <a:avLst/>
                    </a:prstGeom>
                    <a:noFill/>
                    <a:ln>
                      <a:noFill/>
                    </a:ln>
                  </pic:spPr>
                </pic:pic>
              </a:graphicData>
            </a:graphic>
          </wp:inline>
        </w:drawing>
      </w:r>
    </w:p>
    <w:p>
      <w:pPr>
        <w:spacing w:line="360" w:lineRule="auto"/>
        <w:rPr>
          <w:color w:val="auto"/>
        </w:rPr>
      </w:pPr>
    </w:p>
    <w:p>
      <w:pPr>
        <w:spacing w:line="360" w:lineRule="auto"/>
        <w:rPr>
          <w:color w:val="auto"/>
        </w:rPr>
      </w:pPr>
    </w:p>
    <w:p>
      <w:pPr>
        <w:spacing w:line="360" w:lineRule="auto"/>
        <w:jc w:val="center"/>
      </w:pPr>
    </w:p>
    <w:p>
      <w:pPr>
        <w:spacing w:line="360" w:lineRule="auto"/>
        <w:jc w:val="center"/>
      </w:pPr>
    </w:p>
    <w:p>
      <w:pPr>
        <w:spacing w:line="360" w:lineRule="auto"/>
        <w:jc w:val="center"/>
      </w:pPr>
    </w:p>
    <w:p>
      <w:pPr>
        <w:spacing w:line="360" w:lineRule="auto"/>
        <w:jc w:val="center"/>
        <w:rPr>
          <w:color w:val="auto"/>
        </w:rPr>
      </w:pPr>
      <w:r>
        <w:rPr>
          <w:lang w:eastAsia="zh-CN"/>
        </w:rPr>
        <w:drawing>
          <wp:inline distT="0" distB="0" distL="114300" distR="114300">
            <wp:extent cx="5270500" cy="8309610"/>
            <wp:effectExtent l="0" t="0" r="6350" b="15240"/>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10" cstate="print"/>
                    <a:stretch>
                      <a:fillRect/>
                    </a:stretch>
                  </pic:blipFill>
                  <pic:spPr>
                    <a:xfrm>
                      <a:off x="0" y="0"/>
                      <a:ext cx="5270500" cy="8309610"/>
                    </a:xfrm>
                    <a:prstGeom prst="rect">
                      <a:avLst/>
                    </a:prstGeom>
                    <a:noFill/>
                    <a:ln>
                      <a:noFill/>
                    </a:ln>
                  </pic:spPr>
                </pic:pic>
              </a:graphicData>
            </a:graphic>
          </wp:inline>
        </w:drawing>
      </w:r>
    </w:p>
    <w:p>
      <w:pPr>
        <w:spacing w:line="360" w:lineRule="auto"/>
        <w:jc w:val="cente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r>
        <w:rPr>
          <w:lang w:eastAsia="zh-CN"/>
        </w:rPr>
        <w:drawing>
          <wp:inline distT="0" distB="0" distL="114300" distR="114300">
            <wp:extent cx="5269230" cy="3218180"/>
            <wp:effectExtent l="0" t="0" r="7620" b="1270"/>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11" cstate="print"/>
                    <a:stretch>
                      <a:fillRect/>
                    </a:stretch>
                  </pic:blipFill>
                  <pic:spPr>
                    <a:xfrm>
                      <a:off x="0" y="0"/>
                      <a:ext cx="5269230" cy="3218180"/>
                    </a:xfrm>
                    <a:prstGeom prst="rect">
                      <a:avLst/>
                    </a:prstGeom>
                    <a:noFill/>
                    <a:ln>
                      <a:noFill/>
                    </a:ln>
                  </pic:spPr>
                </pic:pic>
              </a:graphicData>
            </a:graphic>
          </wp:inline>
        </w:drawing>
      </w:r>
    </w:p>
    <w:p>
      <w:pPr>
        <w:spacing w:line="360" w:lineRule="auto"/>
      </w:pPr>
    </w:p>
    <w:p>
      <w:pPr>
        <w:spacing w:line="360" w:lineRule="auto"/>
      </w:pPr>
    </w:p>
    <w:p>
      <w:pPr>
        <w:spacing w:line="360" w:lineRule="auto"/>
      </w:pPr>
    </w:p>
    <w:p>
      <w:pPr>
        <w:spacing w:line="360" w:lineRule="auto"/>
      </w:pPr>
      <w:r>
        <w:rPr>
          <w:lang w:eastAsia="zh-CN"/>
        </w:rPr>
        <w:drawing>
          <wp:inline distT="0" distB="0" distL="114300" distR="114300">
            <wp:extent cx="5269230" cy="3590925"/>
            <wp:effectExtent l="0" t="0" r="7620" b="9525"/>
            <wp:docPr id="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12" cstate="print"/>
                    <a:stretch>
                      <a:fillRect/>
                    </a:stretch>
                  </pic:blipFill>
                  <pic:spPr>
                    <a:xfrm>
                      <a:off x="0" y="0"/>
                      <a:ext cx="5269230" cy="3590925"/>
                    </a:xfrm>
                    <a:prstGeom prst="rect">
                      <a:avLst/>
                    </a:prstGeom>
                    <a:noFill/>
                    <a:ln>
                      <a:noFill/>
                    </a:ln>
                  </pic:spPr>
                </pic:pic>
              </a:graphicData>
            </a:graphic>
          </wp:inline>
        </w:drawing>
      </w:r>
    </w:p>
    <w:p>
      <w:pPr>
        <w:spacing w:line="360" w:lineRule="auto"/>
      </w:pPr>
    </w:p>
    <w:p>
      <w:pPr>
        <w:spacing w:line="360" w:lineRule="auto"/>
      </w:pPr>
    </w:p>
    <w:p>
      <w:pPr>
        <w:spacing w:line="360" w:lineRule="auto"/>
        <w:rPr>
          <w:color w:val="auto"/>
        </w:rPr>
      </w:pPr>
    </w:p>
    <w:p>
      <w:pPr>
        <w:spacing w:line="360" w:lineRule="auto"/>
        <w:jc w:val="center"/>
        <w:rPr>
          <w:color w:val="auto"/>
        </w:rPr>
      </w:pPr>
      <w:r>
        <w:rPr>
          <w:lang w:eastAsia="zh-CN"/>
        </w:rPr>
        <w:drawing>
          <wp:inline distT="0" distB="0" distL="114300" distR="114300">
            <wp:extent cx="5274310" cy="4680585"/>
            <wp:effectExtent l="0" t="0" r="2540" b="5715"/>
            <wp:docPr id="2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pic:cNvPicPr>
                      <a:picLocks noChangeAspect="1"/>
                    </pic:cNvPicPr>
                  </pic:nvPicPr>
                  <pic:blipFill>
                    <a:blip r:embed="rId13" cstate="print"/>
                    <a:stretch>
                      <a:fillRect/>
                    </a:stretch>
                  </pic:blipFill>
                  <pic:spPr>
                    <a:xfrm>
                      <a:off x="0" y="0"/>
                      <a:ext cx="5274310" cy="4680585"/>
                    </a:xfrm>
                    <a:prstGeom prst="rect">
                      <a:avLst/>
                    </a:prstGeom>
                    <a:noFill/>
                    <a:ln>
                      <a:noFill/>
                    </a:ln>
                  </pic:spPr>
                </pic:pic>
              </a:graphicData>
            </a:graphic>
          </wp:inline>
        </w:drawing>
      </w:r>
    </w:p>
    <w:p>
      <w:pPr>
        <w:spacing w:line="360" w:lineRule="auto"/>
      </w:pPr>
    </w:p>
    <w:p>
      <w:pPr>
        <w:spacing w:line="360" w:lineRule="auto"/>
      </w:pPr>
      <w:r>
        <w:rPr>
          <w:lang w:eastAsia="zh-CN"/>
        </w:rPr>
        <w:drawing>
          <wp:inline distT="0" distB="0" distL="114300" distR="114300">
            <wp:extent cx="5270500" cy="3091815"/>
            <wp:effectExtent l="0" t="0" r="6350" b="13335"/>
            <wp:docPr id="2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pic:cNvPicPr>
                      <a:picLocks noChangeAspect="1"/>
                    </pic:cNvPicPr>
                  </pic:nvPicPr>
                  <pic:blipFill>
                    <a:blip r:embed="rId14" cstate="print"/>
                    <a:stretch>
                      <a:fillRect/>
                    </a:stretch>
                  </pic:blipFill>
                  <pic:spPr>
                    <a:xfrm>
                      <a:off x="0" y="0"/>
                      <a:ext cx="5270500" cy="3091815"/>
                    </a:xfrm>
                    <a:prstGeom prst="rect">
                      <a:avLst/>
                    </a:prstGeom>
                    <a:noFill/>
                    <a:ln>
                      <a:noFill/>
                    </a:ln>
                  </pic:spPr>
                </pic:pic>
              </a:graphicData>
            </a:graphic>
          </wp:inline>
        </w:drawing>
      </w:r>
    </w:p>
    <w:p>
      <w:pPr>
        <w:spacing w:line="360" w:lineRule="auto"/>
      </w:pPr>
    </w:p>
    <w:p>
      <w:pPr>
        <w:spacing w:line="360" w:lineRule="auto"/>
        <w:rPr>
          <w:color w:val="auto"/>
        </w:rPr>
      </w:pPr>
    </w:p>
    <w:p>
      <w:pPr>
        <w:spacing w:line="600" w:lineRule="exact"/>
        <w:jc w:val="both"/>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第三部分  202</w:t>
      </w:r>
      <w:r>
        <w:rPr>
          <w:rFonts w:hint="eastAsia" w:ascii="方正小标宋简体" w:hAnsi="方正小标宋简体" w:eastAsia="方正小标宋简体" w:cs="方正小标宋简体"/>
          <w:bCs/>
          <w:color w:val="auto"/>
          <w:sz w:val="44"/>
          <w:szCs w:val="44"/>
          <w:lang w:eastAsia="zh-CN"/>
        </w:rPr>
        <w:t>2</w:t>
      </w:r>
      <w:r>
        <w:rPr>
          <w:rFonts w:hint="eastAsia" w:ascii="方正小标宋简体" w:hAnsi="方正小标宋简体" w:eastAsia="方正小标宋简体" w:cs="方正小标宋简体"/>
          <w:bCs/>
          <w:color w:val="auto"/>
          <w:sz w:val="44"/>
          <w:szCs w:val="44"/>
        </w:rPr>
        <w:t>年度</w:t>
      </w:r>
      <w:r>
        <w:rPr>
          <w:rFonts w:hint="eastAsia" w:ascii="方正小标宋简体" w:hAnsi="方正小标宋简体" w:eastAsia="方正小标宋简体" w:cs="方正小标宋简体"/>
          <w:bCs/>
          <w:color w:val="auto"/>
          <w:sz w:val="44"/>
          <w:szCs w:val="44"/>
          <w:lang w:eastAsia="zh-CN"/>
        </w:rPr>
        <w:t>单位</w:t>
      </w:r>
      <w:r>
        <w:rPr>
          <w:rFonts w:hint="eastAsia" w:ascii="方正小标宋简体" w:hAnsi="方正小标宋简体" w:eastAsia="方正小标宋简体" w:cs="方正小标宋简体"/>
          <w:bCs/>
          <w:color w:val="auto"/>
          <w:sz w:val="44"/>
          <w:szCs w:val="44"/>
        </w:rPr>
        <w:t>决算情况说明</w:t>
      </w:r>
    </w:p>
    <w:p>
      <w:pPr>
        <w:ind w:firstLine="630"/>
        <w:rPr>
          <w:rFonts w:ascii="仿宋_GB2312" w:hAnsi="仿宋_GB2312" w:eastAsia="仿宋_GB2312"/>
          <w:color w:val="auto"/>
          <w:sz w:val="32"/>
          <w:szCs w:val="32"/>
        </w:rPr>
      </w:pPr>
    </w:p>
    <w:p>
      <w:pPr>
        <w:spacing w:line="600" w:lineRule="exact"/>
        <w:ind w:firstLine="630"/>
        <w:jc w:val="both"/>
        <w:rPr>
          <w:rFonts w:ascii="黑体" w:hAnsi="黑体" w:eastAsia="黑体"/>
          <w:color w:val="auto"/>
          <w:sz w:val="32"/>
          <w:szCs w:val="32"/>
        </w:rPr>
      </w:pPr>
      <w:r>
        <w:rPr>
          <w:rFonts w:hint="eastAsia" w:ascii="黑体" w:hAnsi="黑体" w:eastAsia="黑体"/>
          <w:color w:val="auto"/>
          <w:sz w:val="32"/>
          <w:szCs w:val="32"/>
        </w:rPr>
        <w:t>一、收入决算情况说明</w:t>
      </w:r>
    </w:p>
    <w:p>
      <w:pPr>
        <w:spacing w:line="600" w:lineRule="exact"/>
        <w:ind w:firstLine="630"/>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eastAsia="zh-CN"/>
        </w:rPr>
        <w:t>2</w:t>
      </w:r>
      <w:r>
        <w:rPr>
          <w:rFonts w:hint="eastAsia" w:ascii="仿宋_GB2312" w:hAnsi="仿宋_GB2312" w:eastAsia="仿宋_GB2312"/>
          <w:color w:val="auto"/>
          <w:sz w:val="32"/>
          <w:szCs w:val="32"/>
        </w:rPr>
        <w:t xml:space="preserve">年度收入总计 </w:t>
      </w:r>
      <w:r>
        <w:rPr>
          <w:rFonts w:hint="eastAsia" w:ascii="仿宋_GB2312" w:hAnsi="仿宋_GB2312" w:eastAsia="仿宋_GB2312"/>
          <w:color w:val="auto"/>
          <w:sz w:val="32"/>
          <w:szCs w:val="32"/>
          <w:lang w:eastAsia="zh-CN"/>
        </w:rPr>
        <w:t>719.83</w:t>
      </w:r>
      <w:r>
        <w:rPr>
          <w:rFonts w:hint="eastAsia" w:ascii="仿宋_GB2312" w:hAnsi="仿宋_GB2312" w:eastAsia="仿宋_GB2312"/>
          <w:color w:val="auto"/>
          <w:sz w:val="32"/>
          <w:szCs w:val="32"/>
        </w:rPr>
        <w:t xml:space="preserve">   万元，其中年初结转和结余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eastAsia="zh-CN"/>
        </w:rPr>
        <w:t>10.14</w:t>
      </w:r>
      <w:r>
        <w:rPr>
          <w:rFonts w:hint="eastAsia" w:ascii="仿宋_GB2312" w:hAnsi="仿宋_GB2312" w:eastAsia="仿宋_GB2312"/>
          <w:color w:val="auto"/>
          <w:sz w:val="32"/>
          <w:szCs w:val="32"/>
        </w:rPr>
        <w:t xml:space="preserve">  万元，下降 </w:t>
      </w:r>
      <w:r>
        <w:rPr>
          <w:rFonts w:hint="eastAsia" w:ascii="仿宋_GB2312" w:hAnsi="仿宋_GB2312" w:eastAsia="仿宋_GB2312"/>
          <w:color w:val="auto"/>
          <w:sz w:val="32"/>
          <w:szCs w:val="32"/>
          <w:lang w:eastAsia="zh-CN"/>
        </w:rPr>
        <w:t>1.4</w:t>
      </w:r>
      <w:r>
        <w:rPr>
          <w:rFonts w:hint="eastAsia" w:ascii="仿宋_GB2312" w:hAnsi="仿宋_GB2312" w:eastAsia="仿宋_GB2312"/>
          <w:color w:val="auto"/>
          <w:sz w:val="32"/>
          <w:szCs w:val="32"/>
        </w:rPr>
        <w:t xml:space="preserve"> %；本年收入合计 </w:t>
      </w:r>
      <w:r>
        <w:rPr>
          <w:rFonts w:hint="eastAsia" w:ascii="仿宋_GB2312" w:hAnsi="仿宋_GB2312" w:eastAsia="仿宋_GB2312"/>
          <w:color w:val="auto"/>
          <w:sz w:val="32"/>
          <w:szCs w:val="32"/>
          <w:lang w:eastAsia="zh-CN"/>
        </w:rPr>
        <w:t>719.83</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 xml:space="preserve">年减少 </w:t>
      </w:r>
      <w:r>
        <w:rPr>
          <w:rFonts w:hint="eastAsia" w:ascii="仿宋_GB2312" w:hAnsi="仿宋_GB2312" w:eastAsia="仿宋_GB2312"/>
          <w:color w:val="auto"/>
          <w:sz w:val="32"/>
          <w:szCs w:val="32"/>
          <w:lang w:eastAsia="zh-CN"/>
        </w:rPr>
        <w:t>10.14</w:t>
      </w:r>
      <w:r>
        <w:rPr>
          <w:rFonts w:hint="eastAsia" w:ascii="仿宋_GB2312" w:hAnsi="仿宋_GB2312" w:eastAsia="仿宋_GB2312"/>
          <w:color w:val="auto"/>
          <w:sz w:val="32"/>
          <w:szCs w:val="32"/>
        </w:rPr>
        <w:t xml:space="preserve"> 万元，下降  </w:t>
      </w:r>
      <w:r>
        <w:rPr>
          <w:rFonts w:hint="eastAsia" w:ascii="仿宋_GB2312" w:hAnsi="仿宋_GB2312" w:eastAsia="仿宋_GB2312"/>
          <w:color w:val="auto"/>
          <w:sz w:val="32"/>
          <w:szCs w:val="32"/>
          <w:lang w:eastAsia="zh-CN"/>
        </w:rPr>
        <w:t>1.4</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eastAsia="zh-CN"/>
        </w:rPr>
        <w:t>新冠疫情导致病号减少</w:t>
      </w:r>
      <w:r>
        <w:rPr>
          <w:rFonts w:hint="eastAsia" w:ascii="仿宋_GB2312" w:hAnsi="仿宋_GB2312" w:eastAsia="仿宋_GB2312"/>
          <w:color w:val="auto"/>
          <w:sz w:val="32"/>
          <w:szCs w:val="32"/>
        </w:rPr>
        <w:t>。</w:t>
      </w:r>
    </w:p>
    <w:p>
      <w:pPr>
        <w:spacing w:line="600" w:lineRule="exact"/>
        <w:ind w:firstLine="630"/>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 xml:space="preserve">本年收入的具体构成为：财政拨款收入 </w:t>
      </w:r>
      <w:r>
        <w:rPr>
          <w:rFonts w:hint="eastAsia" w:ascii="仿宋_GB2312" w:hAnsi="仿宋_GB2312" w:eastAsia="仿宋_GB2312"/>
          <w:color w:val="auto"/>
          <w:sz w:val="32"/>
          <w:szCs w:val="32"/>
          <w:lang w:eastAsia="zh-CN"/>
        </w:rPr>
        <w:t>359.84</w:t>
      </w:r>
      <w:r>
        <w:rPr>
          <w:rFonts w:hint="eastAsia" w:ascii="仿宋_GB2312" w:hAnsi="仿宋_GB2312" w:eastAsia="仿宋_GB2312"/>
          <w:color w:val="auto"/>
          <w:sz w:val="32"/>
          <w:szCs w:val="32"/>
        </w:rPr>
        <w:t xml:space="preserve"> 万元，占 </w:t>
      </w:r>
      <w:r>
        <w:rPr>
          <w:rFonts w:hint="eastAsia" w:ascii="仿宋_GB2312" w:hAnsi="仿宋_GB2312" w:eastAsia="仿宋_GB2312"/>
          <w:color w:val="auto"/>
          <w:sz w:val="32"/>
          <w:szCs w:val="32"/>
          <w:lang w:eastAsia="zh-CN"/>
        </w:rPr>
        <w:t>49.98</w:t>
      </w:r>
      <w:r>
        <w:rPr>
          <w:rFonts w:hint="eastAsia" w:ascii="仿宋_GB2312" w:hAnsi="仿宋_GB2312" w:eastAsia="仿宋_GB2312"/>
          <w:color w:val="auto"/>
          <w:sz w:val="32"/>
          <w:szCs w:val="32"/>
        </w:rPr>
        <w:t xml:space="preserve"> %；事业收入 </w:t>
      </w:r>
      <w:r>
        <w:rPr>
          <w:rFonts w:hint="eastAsia" w:ascii="仿宋_GB2312" w:hAnsi="仿宋_GB2312" w:eastAsia="仿宋_GB2312"/>
          <w:color w:val="auto"/>
          <w:sz w:val="32"/>
          <w:szCs w:val="32"/>
          <w:lang w:eastAsia="zh-CN"/>
        </w:rPr>
        <w:t>357.29</w:t>
      </w:r>
      <w:r>
        <w:rPr>
          <w:rFonts w:hint="eastAsia" w:ascii="仿宋_GB2312" w:hAnsi="仿宋_GB2312" w:eastAsia="仿宋_GB2312"/>
          <w:color w:val="auto"/>
          <w:sz w:val="32"/>
          <w:szCs w:val="32"/>
        </w:rPr>
        <w:t xml:space="preserve">  万元，占 </w:t>
      </w:r>
      <w:r>
        <w:rPr>
          <w:rFonts w:hint="eastAsia" w:ascii="仿宋_GB2312" w:hAnsi="仿宋_GB2312" w:eastAsia="仿宋_GB2312"/>
          <w:color w:val="auto"/>
          <w:sz w:val="32"/>
          <w:szCs w:val="32"/>
          <w:lang w:eastAsia="zh-CN"/>
        </w:rPr>
        <w:t>49.64</w:t>
      </w:r>
      <w:r>
        <w:rPr>
          <w:rFonts w:hint="eastAsia" w:ascii="仿宋_GB2312" w:hAnsi="仿宋_GB2312" w:eastAsia="仿宋_GB2312"/>
          <w:color w:val="auto"/>
          <w:sz w:val="32"/>
          <w:szCs w:val="32"/>
        </w:rPr>
        <w:t xml:space="preserve"> %；其他收入</w:t>
      </w:r>
      <w:r>
        <w:rPr>
          <w:rFonts w:hint="eastAsia" w:ascii="仿宋_GB2312" w:hAnsi="仿宋_GB2312" w:eastAsia="仿宋_GB2312"/>
          <w:color w:val="auto"/>
          <w:sz w:val="32"/>
          <w:szCs w:val="32"/>
          <w:lang w:eastAsia="zh-CN"/>
        </w:rPr>
        <w:t>2.71</w:t>
      </w:r>
      <w:r>
        <w:rPr>
          <w:rFonts w:hint="eastAsia" w:ascii="仿宋_GB2312" w:hAnsi="仿宋_GB2312" w:eastAsia="仿宋_GB2312"/>
          <w:color w:val="auto"/>
          <w:sz w:val="32"/>
          <w:szCs w:val="32"/>
        </w:rPr>
        <w:t xml:space="preserve">   万元，占 </w:t>
      </w:r>
      <w:r>
        <w:rPr>
          <w:rFonts w:hint="eastAsia" w:ascii="仿宋_GB2312" w:hAnsi="仿宋_GB2312" w:eastAsia="仿宋_GB2312"/>
          <w:color w:val="auto"/>
          <w:sz w:val="32"/>
          <w:szCs w:val="32"/>
          <w:lang w:eastAsia="zh-CN"/>
        </w:rPr>
        <w:t>0.38</w:t>
      </w:r>
      <w:r>
        <w:rPr>
          <w:rFonts w:hint="eastAsia" w:ascii="仿宋_GB2312" w:hAnsi="仿宋_GB2312" w:eastAsia="仿宋_GB2312"/>
          <w:color w:val="auto"/>
          <w:sz w:val="32"/>
          <w:szCs w:val="32"/>
        </w:rPr>
        <w:t xml:space="preserve"> %。  </w:t>
      </w:r>
    </w:p>
    <w:p>
      <w:pPr>
        <w:spacing w:line="600" w:lineRule="exact"/>
        <w:ind w:firstLine="630"/>
        <w:jc w:val="both"/>
        <w:rPr>
          <w:rFonts w:ascii="黑体" w:hAnsi="黑体" w:eastAsia="黑体"/>
          <w:color w:val="auto"/>
          <w:sz w:val="32"/>
          <w:szCs w:val="32"/>
        </w:rPr>
      </w:pPr>
      <w:r>
        <w:rPr>
          <w:rFonts w:hint="eastAsia" w:ascii="黑体" w:hAnsi="黑体" w:eastAsia="黑体"/>
          <w:color w:val="auto"/>
          <w:sz w:val="32"/>
          <w:szCs w:val="32"/>
        </w:rPr>
        <w:t>二、支出决算情况说明</w:t>
      </w:r>
    </w:p>
    <w:p>
      <w:pPr>
        <w:spacing w:line="600" w:lineRule="exact"/>
        <w:ind w:firstLine="630"/>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eastAsia="zh-CN"/>
        </w:rPr>
        <w:t>2</w:t>
      </w:r>
      <w:r>
        <w:rPr>
          <w:rFonts w:hint="eastAsia" w:ascii="仿宋_GB2312" w:hAnsi="仿宋_GB2312" w:eastAsia="仿宋_GB2312"/>
          <w:color w:val="auto"/>
          <w:sz w:val="32"/>
          <w:szCs w:val="32"/>
        </w:rPr>
        <w:t xml:space="preserve">年度支出总计 </w:t>
      </w:r>
      <w:r>
        <w:rPr>
          <w:rFonts w:hint="eastAsia" w:ascii="仿宋_GB2312" w:hAnsi="仿宋_GB2312" w:eastAsia="仿宋_GB2312"/>
          <w:color w:val="auto"/>
          <w:sz w:val="32"/>
          <w:szCs w:val="32"/>
          <w:lang w:eastAsia="zh-CN"/>
        </w:rPr>
        <w:t>643.14</w:t>
      </w:r>
      <w:r>
        <w:rPr>
          <w:rFonts w:hint="eastAsia" w:ascii="仿宋_GB2312" w:hAnsi="仿宋_GB2312" w:eastAsia="仿宋_GB2312"/>
          <w:color w:val="auto"/>
          <w:sz w:val="32"/>
          <w:szCs w:val="32"/>
        </w:rPr>
        <w:t xml:space="preserve">   万元，其中本年支出合计 </w:t>
      </w:r>
      <w:r>
        <w:rPr>
          <w:rFonts w:hint="eastAsia" w:ascii="仿宋_GB2312" w:hAnsi="仿宋_GB2312" w:eastAsia="仿宋_GB2312"/>
          <w:color w:val="auto"/>
          <w:sz w:val="32"/>
          <w:szCs w:val="32"/>
          <w:lang w:eastAsia="zh-CN"/>
        </w:rPr>
        <w:t>643.14</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 xml:space="preserve">年减少 </w:t>
      </w:r>
      <w:r>
        <w:rPr>
          <w:rFonts w:hint="eastAsia" w:ascii="仿宋_GB2312" w:hAnsi="仿宋_GB2312" w:eastAsia="仿宋_GB2312"/>
          <w:color w:val="auto"/>
          <w:sz w:val="32"/>
          <w:szCs w:val="32"/>
          <w:lang w:eastAsia="zh-CN"/>
        </w:rPr>
        <w:t>86.83</w:t>
      </w:r>
      <w:r>
        <w:rPr>
          <w:rFonts w:hint="eastAsia" w:ascii="仿宋_GB2312" w:hAnsi="仿宋_GB2312" w:eastAsia="仿宋_GB2312"/>
          <w:color w:val="auto"/>
          <w:sz w:val="32"/>
          <w:szCs w:val="32"/>
        </w:rPr>
        <w:t xml:space="preserve"> 万元，下降 </w:t>
      </w:r>
      <w:r>
        <w:rPr>
          <w:rFonts w:hint="eastAsia" w:ascii="仿宋_GB2312" w:hAnsi="仿宋_GB2312" w:eastAsia="仿宋_GB2312"/>
          <w:color w:val="auto"/>
          <w:sz w:val="32"/>
          <w:szCs w:val="32"/>
          <w:lang w:eastAsia="zh-CN"/>
        </w:rPr>
        <w:t>11.8</w:t>
      </w:r>
      <w:r>
        <w:rPr>
          <w:rFonts w:hint="eastAsia" w:ascii="仿宋_GB2312" w:hAnsi="仿宋_GB2312" w:eastAsia="仿宋_GB2312"/>
          <w:color w:val="auto"/>
          <w:sz w:val="32"/>
          <w:szCs w:val="32"/>
        </w:rPr>
        <w:t xml:space="preserve"> %，主要原因是：</w:t>
      </w:r>
      <w:r>
        <w:rPr>
          <w:rFonts w:hint="eastAsia" w:ascii="仿宋_GB2312" w:hAnsi="仿宋_GB2312" w:eastAsia="仿宋_GB2312"/>
          <w:color w:val="auto"/>
          <w:sz w:val="32"/>
          <w:szCs w:val="32"/>
          <w:lang w:eastAsia="zh-CN"/>
        </w:rPr>
        <w:t>未支付卫生材料款</w:t>
      </w:r>
      <w:r>
        <w:rPr>
          <w:rFonts w:hint="eastAsia" w:ascii="仿宋_GB2312" w:hAnsi="仿宋_GB2312" w:eastAsia="仿宋_GB2312"/>
          <w:color w:val="auto"/>
          <w:sz w:val="32"/>
          <w:szCs w:val="32"/>
        </w:rPr>
        <w:t xml:space="preserve">；年末结转和结余 </w:t>
      </w:r>
      <w:r>
        <w:rPr>
          <w:rFonts w:hint="eastAsia" w:ascii="仿宋_GB2312" w:hAnsi="仿宋_GB2312" w:eastAsia="仿宋_GB2312"/>
          <w:color w:val="auto"/>
          <w:sz w:val="32"/>
          <w:szCs w:val="32"/>
          <w:lang w:eastAsia="zh-CN"/>
        </w:rPr>
        <w:t>76.7</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eastAsia="zh-CN"/>
        </w:rPr>
        <w:t>76.7</w:t>
      </w:r>
      <w:r>
        <w:rPr>
          <w:rFonts w:hint="eastAsia" w:ascii="仿宋_GB2312" w:hAnsi="仿宋_GB2312" w:eastAsia="仿宋_GB2312"/>
          <w:color w:val="auto"/>
          <w:sz w:val="32"/>
          <w:szCs w:val="32"/>
        </w:rPr>
        <w:t xml:space="preserve">  万元，增长</w:t>
      </w:r>
      <w:r>
        <w:rPr>
          <w:rFonts w:hint="eastAsia" w:ascii="仿宋_GB2312" w:hAnsi="仿宋_GB2312" w:eastAsia="仿宋_GB2312"/>
          <w:color w:val="auto"/>
          <w:sz w:val="32"/>
          <w:szCs w:val="32"/>
          <w:lang w:eastAsia="zh-CN"/>
        </w:rPr>
        <w:t>100</w:t>
      </w:r>
      <w:r>
        <w:rPr>
          <w:rFonts w:hint="eastAsia" w:ascii="仿宋_GB2312" w:hAnsi="仿宋_GB2312" w:eastAsia="仿宋_GB2312"/>
          <w:color w:val="auto"/>
          <w:sz w:val="32"/>
          <w:szCs w:val="32"/>
        </w:rPr>
        <w:t xml:space="preserve">  %，主要原因是：</w:t>
      </w:r>
      <w:r>
        <w:rPr>
          <w:rFonts w:hint="eastAsia" w:ascii="仿宋_GB2312" w:hAnsi="仿宋_GB2312" w:eastAsia="仿宋_GB2312"/>
          <w:color w:val="auto"/>
          <w:sz w:val="32"/>
          <w:szCs w:val="32"/>
          <w:lang w:eastAsia="zh-CN"/>
        </w:rPr>
        <w:t>未支付卫生材料款</w:t>
      </w:r>
      <w:r>
        <w:rPr>
          <w:rFonts w:hint="eastAsia" w:ascii="仿宋_GB2312" w:hAnsi="仿宋_GB2312" w:eastAsia="仿宋_GB2312"/>
          <w:color w:val="auto"/>
          <w:sz w:val="32"/>
          <w:szCs w:val="32"/>
        </w:rPr>
        <w:t>。</w:t>
      </w:r>
    </w:p>
    <w:p>
      <w:pPr>
        <w:spacing w:line="600" w:lineRule="exact"/>
        <w:ind w:firstLine="630"/>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 xml:space="preserve">本年支出的具体构成为：基本支出 </w:t>
      </w:r>
      <w:r>
        <w:rPr>
          <w:rFonts w:hint="eastAsia" w:ascii="仿宋_GB2312" w:hAnsi="仿宋_GB2312" w:eastAsia="仿宋_GB2312"/>
          <w:color w:val="auto"/>
          <w:sz w:val="32"/>
          <w:szCs w:val="32"/>
          <w:lang w:eastAsia="zh-CN"/>
        </w:rPr>
        <w:t>636.72</w:t>
      </w:r>
      <w:r>
        <w:rPr>
          <w:rFonts w:hint="eastAsia" w:ascii="仿宋_GB2312" w:hAnsi="仿宋_GB2312" w:eastAsia="仿宋_GB2312"/>
          <w:color w:val="auto"/>
          <w:sz w:val="32"/>
          <w:szCs w:val="32"/>
        </w:rPr>
        <w:t xml:space="preserve">  万元，占</w:t>
      </w:r>
      <w:r>
        <w:rPr>
          <w:rFonts w:hint="eastAsia" w:ascii="仿宋_GB2312" w:hAnsi="仿宋_GB2312" w:eastAsia="仿宋_GB2312"/>
          <w:color w:val="auto"/>
          <w:sz w:val="32"/>
          <w:szCs w:val="32"/>
          <w:lang w:eastAsia="zh-CN"/>
        </w:rPr>
        <w:t>99</w:t>
      </w:r>
      <w:r>
        <w:rPr>
          <w:rFonts w:hint="eastAsia" w:ascii="仿宋_GB2312" w:hAnsi="仿宋_GB2312" w:eastAsia="仿宋_GB2312"/>
          <w:color w:val="auto"/>
          <w:sz w:val="32"/>
          <w:szCs w:val="32"/>
        </w:rPr>
        <w:t xml:space="preserve">  %；项目支出</w:t>
      </w:r>
      <w:r>
        <w:rPr>
          <w:rFonts w:hint="eastAsia" w:ascii="仿宋_GB2312" w:hAnsi="仿宋_GB2312" w:eastAsia="仿宋_GB2312"/>
          <w:color w:val="auto"/>
          <w:sz w:val="32"/>
          <w:szCs w:val="32"/>
          <w:lang w:eastAsia="zh-CN"/>
        </w:rPr>
        <w:t>6.42</w:t>
      </w:r>
      <w:r>
        <w:rPr>
          <w:rFonts w:hint="eastAsia" w:ascii="仿宋_GB2312" w:hAnsi="仿宋_GB2312" w:eastAsia="仿宋_GB2312"/>
          <w:color w:val="auto"/>
          <w:sz w:val="32"/>
          <w:szCs w:val="32"/>
        </w:rPr>
        <w:t xml:space="preserve">   万元，占 </w:t>
      </w:r>
      <w:r>
        <w:rPr>
          <w:rFonts w:hint="eastAsia" w:ascii="仿宋_GB2312" w:hAnsi="仿宋_GB2312" w:eastAsia="仿宋_GB2312"/>
          <w:color w:val="auto"/>
          <w:sz w:val="32"/>
          <w:szCs w:val="32"/>
          <w:lang w:eastAsia="zh-CN"/>
        </w:rPr>
        <w:t>1</w:t>
      </w:r>
      <w:r>
        <w:rPr>
          <w:rFonts w:hint="eastAsia" w:ascii="仿宋_GB2312" w:hAnsi="仿宋_GB2312" w:eastAsia="仿宋_GB2312"/>
          <w:color w:val="auto"/>
          <w:sz w:val="32"/>
          <w:szCs w:val="32"/>
        </w:rPr>
        <w:t xml:space="preserve">  %；经营支出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万元，占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%；其他支出（对附属单位补助支出、上缴上级支出）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万元，占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w:t>
      </w:r>
    </w:p>
    <w:p>
      <w:pPr>
        <w:spacing w:line="600" w:lineRule="exact"/>
        <w:ind w:firstLine="630"/>
        <w:jc w:val="both"/>
        <w:rPr>
          <w:rFonts w:ascii="黑体" w:hAnsi="黑体" w:eastAsia="黑体"/>
          <w:color w:val="auto"/>
          <w:sz w:val="32"/>
          <w:szCs w:val="32"/>
        </w:rPr>
      </w:pPr>
      <w:r>
        <w:rPr>
          <w:rFonts w:hint="eastAsia" w:ascii="黑体" w:hAnsi="黑体" w:eastAsia="黑体"/>
          <w:color w:val="auto"/>
          <w:sz w:val="32"/>
          <w:szCs w:val="32"/>
        </w:rPr>
        <w:t>三、财政拨款支出决算情况说明</w:t>
      </w:r>
    </w:p>
    <w:p>
      <w:pPr>
        <w:spacing w:line="600" w:lineRule="exact"/>
        <w:ind w:firstLine="630"/>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eastAsia="zh-CN"/>
        </w:rPr>
        <w:t>2</w:t>
      </w:r>
      <w:r>
        <w:rPr>
          <w:rFonts w:hint="eastAsia" w:ascii="仿宋_GB2312" w:hAnsi="仿宋_GB2312" w:eastAsia="仿宋_GB2312"/>
          <w:color w:val="auto"/>
          <w:sz w:val="32"/>
          <w:szCs w:val="32"/>
        </w:rPr>
        <w:t xml:space="preserve">年度财政拨款本年支出年初预算数为 </w:t>
      </w:r>
      <w:r>
        <w:rPr>
          <w:rFonts w:hint="eastAsia" w:ascii="仿宋_GB2312" w:hAnsi="仿宋_GB2312" w:eastAsia="仿宋_GB2312"/>
          <w:color w:val="auto"/>
          <w:sz w:val="32"/>
          <w:szCs w:val="32"/>
          <w:lang w:eastAsia="zh-CN"/>
        </w:rPr>
        <w:t>177.67</w:t>
      </w:r>
      <w:r>
        <w:rPr>
          <w:rFonts w:hint="eastAsia" w:ascii="仿宋_GB2312" w:hAnsi="仿宋_GB2312" w:eastAsia="仿宋_GB2312"/>
          <w:color w:val="auto"/>
          <w:sz w:val="32"/>
          <w:szCs w:val="32"/>
        </w:rPr>
        <w:t xml:space="preserve">  万元，决算数为</w:t>
      </w:r>
      <w:r>
        <w:rPr>
          <w:rFonts w:hint="eastAsia" w:ascii="仿宋_GB2312" w:hAnsi="仿宋_GB2312" w:eastAsia="仿宋_GB2312"/>
          <w:color w:val="auto"/>
          <w:sz w:val="32"/>
          <w:szCs w:val="32"/>
          <w:lang w:eastAsia="zh-CN"/>
        </w:rPr>
        <w:t>359.84</w:t>
      </w:r>
      <w:r>
        <w:rPr>
          <w:rFonts w:hint="eastAsia" w:ascii="仿宋_GB2312" w:hAnsi="仿宋_GB2312" w:eastAsia="仿宋_GB2312"/>
          <w:color w:val="auto"/>
          <w:sz w:val="32"/>
          <w:szCs w:val="32"/>
        </w:rPr>
        <w:t xml:space="preserve">  万元，完成年初预算的 </w:t>
      </w:r>
      <w:r>
        <w:rPr>
          <w:rFonts w:hint="eastAsia" w:ascii="仿宋_GB2312" w:hAnsi="仿宋_GB2312" w:eastAsia="仿宋_GB2312"/>
          <w:color w:val="auto"/>
          <w:sz w:val="32"/>
          <w:szCs w:val="32"/>
          <w:lang w:eastAsia="zh-CN"/>
        </w:rPr>
        <w:t>202</w:t>
      </w:r>
      <w:r>
        <w:rPr>
          <w:rFonts w:hint="eastAsia" w:ascii="仿宋_GB2312" w:hAnsi="仿宋_GB2312" w:eastAsia="仿宋_GB2312"/>
          <w:color w:val="auto"/>
          <w:sz w:val="32"/>
          <w:szCs w:val="32"/>
        </w:rPr>
        <w:t xml:space="preserve"> %。其中：</w:t>
      </w:r>
    </w:p>
    <w:p>
      <w:pPr>
        <w:spacing w:line="600" w:lineRule="exact"/>
        <w:ind w:firstLine="640" w:firstLineChars="200"/>
        <w:jc w:val="both"/>
        <w:rPr>
          <w:rFonts w:ascii="仿宋_GB2312" w:hAnsi="仿宋_GB2312" w:eastAsia="仿宋_GB2312"/>
          <w:color w:val="auto"/>
          <w:sz w:val="32"/>
          <w:szCs w:val="32"/>
        </w:rPr>
      </w:pPr>
      <w:r>
        <w:rPr>
          <w:rFonts w:hint="eastAsia" w:ascii="仿宋_GB2312" w:hAnsi="仿宋_GB2312" w:eastAsia="仿宋_GB2312"/>
          <w:color w:val="auto"/>
          <w:sz w:val="32"/>
          <w:szCs w:val="32"/>
          <w:lang w:eastAsia="zh-CN"/>
        </w:rPr>
        <w:t>（一）基本支出支出</w:t>
      </w:r>
      <w:r>
        <w:rPr>
          <w:rFonts w:hint="eastAsia" w:ascii="仿宋_GB2312" w:hAnsi="仿宋_GB2312" w:eastAsia="仿宋_GB2312"/>
          <w:color w:val="auto"/>
          <w:sz w:val="32"/>
          <w:szCs w:val="32"/>
        </w:rPr>
        <w:t xml:space="preserve">年初预算数为 </w:t>
      </w:r>
      <w:r>
        <w:rPr>
          <w:rFonts w:hint="eastAsia" w:ascii="仿宋_GB2312" w:hAnsi="仿宋_GB2312" w:eastAsia="仿宋_GB2312"/>
          <w:color w:val="auto"/>
          <w:sz w:val="32"/>
          <w:szCs w:val="32"/>
          <w:lang w:eastAsia="zh-CN"/>
        </w:rPr>
        <w:t>172.67</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eastAsia="zh-CN"/>
        </w:rPr>
        <w:t>353.42</w:t>
      </w:r>
      <w:r>
        <w:rPr>
          <w:rFonts w:hint="eastAsia" w:ascii="仿宋_GB2312" w:hAnsi="仿宋_GB2312" w:eastAsia="仿宋_GB2312"/>
          <w:color w:val="auto"/>
          <w:sz w:val="32"/>
          <w:szCs w:val="32"/>
        </w:rPr>
        <w:t xml:space="preserve">万元，完成年初预算的 </w:t>
      </w:r>
      <w:r>
        <w:rPr>
          <w:rFonts w:hint="eastAsia" w:ascii="仿宋_GB2312" w:hAnsi="仿宋_GB2312" w:eastAsia="仿宋_GB2312"/>
          <w:color w:val="auto"/>
          <w:sz w:val="32"/>
          <w:szCs w:val="32"/>
          <w:lang w:eastAsia="zh-CN"/>
        </w:rPr>
        <w:t>204</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eastAsia="zh-CN"/>
        </w:rPr>
        <w:t>调整预算</w:t>
      </w:r>
      <w:r>
        <w:rPr>
          <w:rFonts w:hint="eastAsia" w:ascii="仿宋_GB2312" w:hAnsi="仿宋_GB2312" w:eastAsia="仿宋_GB2312"/>
          <w:color w:val="auto"/>
          <w:sz w:val="32"/>
          <w:szCs w:val="32"/>
        </w:rPr>
        <w:t>。</w:t>
      </w:r>
    </w:p>
    <w:p>
      <w:pPr>
        <w:spacing w:line="600" w:lineRule="exact"/>
        <w:ind w:firstLine="640" w:firstLineChars="200"/>
        <w:jc w:val="both"/>
        <w:rPr>
          <w:rFonts w:ascii="仿宋_GB2312" w:hAnsi="仿宋_GB2312" w:eastAsia="仿宋_GB2312"/>
          <w:color w:val="auto"/>
          <w:sz w:val="32"/>
          <w:szCs w:val="32"/>
          <w:lang w:eastAsia="zh-CN"/>
        </w:rPr>
      </w:pPr>
      <w:r>
        <w:rPr>
          <w:rFonts w:hint="eastAsia" w:ascii="仿宋_GB2312" w:hAnsi="仿宋_GB2312" w:eastAsia="仿宋_GB2312" w:cs="仿宋_GB2312"/>
          <w:color w:val="auto"/>
          <w:sz w:val="32"/>
          <w:szCs w:val="32"/>
          <w:lang w:eastAsia="zh-CN"/>
        </w:rPr>
        <w:t>（二）项目</w:t>
      </w:r>
      <w:r>
        <w:rPr>
          <w:rFonts w:hint="eastAsia" w:ascii="仿宋_GB2312" w:hAnsi="仿宋_GB2312" w:eastAsia="仿宋_GB2312"/>
          <w:color w:val="auto"/>
          <w:sz w:val="32"/>
          <w:szCs w:val="32"/>
          <w:lang w:eastAsia="zh-CN"/>
        </w:rPr>
        <w:t>支出</w:t>
      </w:r>
      <w:r>
        <w:rPr>
          <w:rFonts w:hint="eastAsia" w:ascii="仿宋_GB2312" w:hAnsi="仿宋_GB2312" w:eastAsia="仿宋_GB2312"/>
          <w:color w:val="auto"/>
          <w:sz w:val="32"/>
          <w:szCs w:val="32"/>
        </w:rPr>
        <w:t xml:space="preserve">年初预算数为  </w:t>
      </w:r>
      <w:r>
        <w:rPr>
          <w:rFonts w:hint="eastAsia" w:ascii="仿宋_GB2312" w:hAnsi="仿宋_GB2312" w:eastAsia="仿宋_GB2312"/>
          <w:color w:val="auto"/>
          <w:sz w:val="32"/>
          <w:szCs w:val="32"/>
          <w:lang w:eastAsia="zh-CN"/>
        </w:rPr>
        <w:t>5</w:t>
      </w:r>
      <w:r>
        <w:rPr>
          <w:rFonts w:hint="eastAsia" w:ascii="仿宋_GB2312" w:hAnsi="仿宋_GB2312" w:eastAsia="仿宋_GB2312"/>
          <w:color w:val="auto"/>
          <w:sz w:val="32"/>
          <w:szCs w:val="32"/>
        </w:rPr>
        <w:t xml:space="preserve">万元，决算数为  </w:t>
      </w:r>
      <w:r>
        <w:rPr>
          <w:rFonts w:hint="eastAsia" w:ascii="仿宋_GB2312" w:hAnsi="仿宋_GB2312" w:eastAsia="仿宋_GB2312"/>
          <w:color w:val="auto"/>
          <w:sz w:val="32"/>
          <w:szCs w:val="32"/>
          <w:lang w:eastAsia="zh-CN"/>
        </w:rPr>
        <w:t>6.42</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eastAsia="zh-CN"/>
        </w:rPr>
        <w:t>128</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eastAsia="zh-CN"/>
        </w:rPr>
        <w:t xml:space="preserve">调整预算 </w:t>
      </w:r>
      <w:r>
        <w:rPr>
          <w:rFonts w:hint="eastAsia" w:ascii="仿宋_GB2312" w:hAnsi="仿宋_GB2312" w:eastAsia="仿宋_GB2312"/>
          <w:color w:val="auto"/>
          <w:sz w:val="32"/>
          <w:szCs w:val="32"/>
        </w:rPr>
        <w:t>。</w:t>
      </w:r>
    </w:p>
    <w:p>
      <w:pPr>
        <w:spacing w:line="600" w:lineRule="exact"/>
        <w:ind w:firstLine="630"/>
        <w:jc w:val="both"/>
        <w:rPr>
          <w:rFonts w:ascii="仿宋_GB2312" w:hAnsi="仿宋_GB2312" w:eastAsia="仿宋_GB2312"/>
          <w:color w:val="auto"/>
          <w:sz w:val="32"/>
          <w:szCs w:val="32"/>
        </w:rPr>
      </w:pPr>
      <w:r>
        <w:rPr>
          <w:rFonts w:ascii="仿宋_GB2312" w:hAnsi="仿宋_GB2312" w:eastAsia="仿宋_GB2312"/>
          <w:color w:val="auto"/>
          <w:sz w:val="32"/>
          <w:szCs w:val="32"/>
        </w:rPr>
        <w:t>……</w:t>
      </w:r>
      <w:r>
        <w:rPr>
          <w:rFonts w:hint="eastAsia" w:ascii="仿宋_GB2312" w:hAnsi="仿宋_GB2312" w:eastAsia="仿宋_GB2312"/>
          <w:color w:val="auto"/>
          <w:sz w:val="32"/>
          <w:szCs w:val="32"/>
          <w:lang w:eastAsia="zh-CN"/>
        </w:rPr>
        <w:t>（按财决01_1表支出功能类级科目分别说明）</w:t>
      </w:r>
    </w:p>
    <w:p>
      <w:pPr>
        <w:spacing w:line="600" w:lineRule="exact"/>
        <w:ind w:firstLine="585"/>
        <w:jc w:val="both"/>
        <w:rPr>
          <w:rFonts w:ascii="黑体" w:hAnsi="黑体" w:eastAsia="黑体"/>
          <w:color w:val="auto"/>
          <w:sz w:val="32"/>
          <w:szCs w:val="32"/>
        </w:rPr>
      </w:pPr>
      <w:r>
        <w:rPr>
          <w:rFonts w:hint="eastAsia" w:ascii="黑体" w:hAnsi="黑体" w:eastAsia="黑体"/>
          <w:color w:val="auto"/>
          <w:sz w:val="32"/>
          <w:szCs w:val="32"/>
        </w:rPr>
        <w:t>四、一般公共预算财政拨款基本支出决算情况说明</w:t>
      </w:r>
    </w:p>
    <w:p>
      <w:pPr>
        <w:spacing w:line="600" w:lineRule="exact"/>
        <w:ind w:firstLine="585"/>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eastAsia="zh-CN"/>
        </w:rPr>
        <w:t>2</w:t>
      </w:r>
      <w:r>
        <w:rPr>
          <w:rFonts w:hint="eastAsia" w:ascii="仿宋_GB2312" w:hAnsi="仿宋_GB2312" w:eastAsia="仿宋_GB2312"/>
          <w:color w:val="auto"/>
          <w:sz w:val="32"/>
          <w:szCs w:val="32"/>
        </w:rPr>
        <w:t>年度一般公共预算财政拨款基本支出</w:t>
      </w:r>
      <w:r>
        <w:rPr>
          <w:rFonts w:hint="eastAsia" w:ascii="仿宋_GB2312" w:hAnsi="仿宋_GB2312" w:eastAsia="仿宋_GB2312"/>
          <w:color w:val="auto"/>
          <w:sz w:val="32"/>
          <w:szCs w:val="32"/>
          <w:lang w:eastAsia="zh-CN"/>
        </w:rPr>
        <w:t>353.42</w:t>
      </w:r>
      <w:r>
        <w:rPr>
          <w:rFonts w:hint="eastAsia" w:ascii="仿宋_GB2312" w:hAnsi="仿宋_GB2312" w:eastAsia="仿宋_GB2312"/>
          <w:color w:val="auto"/>
          <w:sz w:val="32"/>
          <w:szCs w:val="32"/>
        </w:rPr>
        <w:t xml:space="preserve">  万元，其中：</w:t>
      </w:r>
    </w:p>
    <w:p>
      <w:pPr>
        <w:spacing w:line="600" w:lineRule="exact"/>
        <w:ind w:firstLine="585"/>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 xml:space="preserve">（一）工资福利支出  </w:t>
      </w:r>
      <w:r>
        <w:rPr>
          <w:rFonts w:hint="eastAsia" w:ascii="仿宋_GB2312" w:hAnsi="仿宋_GB2312" w:eastAsia="仿宋_GB2312"/>
          <w:color w:val="auto"/>
          <w:sz w:val="32"/>
          <w:szCs w:val="32"/>
          <w:lang w:eastAsia="zh-CN"/>
        </w:rPr>
        <w:t>323.92</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eastAsia="zh-CN"/>
        </w:rPr>
        <w:t>89.42</w:t>
      </w:r>
      <w:r>
        <w:rPr>
          <w:rFonts w:hint="eastAsia" w:ascii="仿宋_GB2312" w:hAnsi="仿宋_GB2312" w:eastAsia="仿宋_GB2312"/>
          <w:color w:val="auto"/>
          <w:sz w:val="32"/>
          <w:szCs w:val="32"/>
        </w:rPr>
        <w:t xml:space="preserve">  万元，增长</w:t>
      </w:r>
      <w:r>
        <w:rPr>
          <w:rFonts w:hint="eastAsia" w:ascii="仿宋_GB2312" w:hAnsi="仿宋_GB2312" w:eastAsia="仿宋_GB2312"/>
          <w:color w:val="auto"/>
          <w:sz w:val="32"/>
          <w:szCs w:val="32"/>
          <w:lang w:eastAsia="zh-CN"/>
        </w:rPr>
        <w:t>38</w:t>
      </w:r>
      <w:r>
        <w:rPr>
          <w:rFonts w:hint="eastAsia" w:ascii="仿宋_GB2312" w:hAnsi="仿宋_GB2312" w:eastAsia="仿宋_GB2312"/>
          <w:color w:val="auto"/>
          <w:sz w:val="32"/>
          <w:szCs w:val="32"/>
        </w:rPr>
        <w:t xml:space="preserve"> %，主要原因是：</w:t>
      </w:r>
      <w:r>
        <w:rPr>
          <w:rFonts w:hint="eastAsia" w:ascii="仿宋_GB2312" w:hAnsi="仿宋_GB2312" w:eastAsia="仿宋_GB2312"/>
          <w:color w:val="auto"/>
          <w:sz w:val="32"/>
          <w:szCs w:val="32"/>
          <w:lang w:eastAsia="zh-CN"/>
        </w:rPr>
        <w:t>调整预算</w:t>
      </w:r>
      <w:r>
        <w:rPr>
          <w:rFonts w:hint="eastAsia" w:ascii="仿宋_GB2312" w:hAnsi="仿宋_GB2312" w:eastAsia="仿宋_GB2312"/>
          <w:color w:val="auto"/>
          <w:sz w:val="32"/>
          <w:szCs w:val="32"/>
        </w:rPr>
        <w:t>。</w:t>
      </w:r>
    </w:p>
    <w:p>
      <w:pPr>
        <w:spacing w:line="600" w:lineRule="exact"/>
        <w:ind w:firstLine="585"/>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 xml:space="preserve">（二）商品和服务支出 </w:t>
      </w:r>
      <w:r>
        <w:rPr>
          <w:rFonts w:hint="eastAsia" w:ascii="仿宋_GB2312" w:hAnsi="仿宋_GB2312" w:eastAsia="仿宋_GB2312"/>
          <w:color w:val="auto"/>
          <w:sz w:val="32"/>
          <w:szCs w:val="32"/>
          <w:lang w:eastAsia="zh-CN"/>
        </w:rPr>
        <w:t>29.5</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eastAsia="zh-CN"/>
        </w:rPr>
        <w:t>29.5</w:t>
      </w:r>
      <w:r>
        <w:rPr>
          <w:rFonts w:hint="eastAsia" w:ascii="仿宋_GB2312" w:hAnsi="仿宋_GB2312" w:eastAsia="仿宋_GB2312"/>
          <w:color w:val="auto"/>
          <w:sz w:val="32"/>
          <w:szCs w:val="32"/>
        </w:rPr>
        <w:t xml:space="preserve"> 万元，增长</w:t>
      </w:r>
      <w:r>
        <w:rPr>
          <w:rFonts w:hint="eastAsia" w:ascii="仿宋_GB2312" w:hAnsi="仿宋_GB2312" w:eastAsia="仿宋_GB2312"/>
          <w:color w:val="auto"/>
          <w:sz w:val="32"/>
          <w:szCs w:val="32"/>
          <w:lang w:eastAsia="zh-CN"/>
        </w:rPr>
        <w:t>100</w:t>
      </w:r>
      <w:r>
        <w:rPr>
          <w:rFonts w:hint="eastAsia" w:ascii="仿宋_GB2312" w:hAnsi="仿宋_GB2312" w:eastAsia="仿宋_GB2312"/>
          <w:color w:val="auto"/>
          <w:sz w:val="32"/>
          <w:szCs w:val="32"/>
        </w:rPr>
        <w:t xml:space="preserve">  %，主要原因是：</w:t>
      </w:r>
      <w:r>
        <w:rPr>
          <w:rFonts w:hint="eastAsia" w:ascii="仿宋_GB2312" w:hAnsi="仿宋_GB2312" w:eastAsia="仿宋_GB2312"/>
          <w:color w:val="auto"/>
          <w:sz w:val="32"/>
          <w:szCs w:val="32"/>
          <w:lang w:eastAsia="zh-CN"/>
        </w:rPr>
        <w:t>调整预算</w:t>
      </w:r>
      <w:r>
        <w:rPr>
          <w:rFonts w:hint="eastAsia" w:ascii="仿宋_GB2312" w:hAnsi="仿宋_GB2312" w:eastAsia="仿宋_GB2312"/>
          <w:color w:val="auto"/>
          <w:sz w:val="32"/>
          <w:szCs w:val="32"/>
        </w:rPr>
        <w:t>。</w:t>
      </w:r>
    </w:p>
    <w:p>
      <w:pPr>
        <w:spacing w:line="600" w:lineRule="exact"/>
        <w:ind w:firstLine="630"/>
        <w:jc w:val="both"/>
        <w:rPr>
          <w:rFonts w:ascii="黑体" w:hAnsi="黑体" w:eastAsia="黑体"/>
          <w:color w:val="auto"/>
          <w:sz w:val="32"/>
          <w:szCs w:val="32"/>
        </w:rPr>
      </w:pPr>
      <w:r>
        <w:rPr>
          <w:rFonts w:hint="eastAsia" w:ascii="黑体" w:hAnsi="黑体" w:eastAsia="黑体"/>
          <w:color w:val="auto"/>
          <w:sz w:val="32"/>
          <w:szCs w:val="32"/>
        </w:rPr>
        <w:t>五、财政拨款“三公”经费支出决算情况说明</w:t>
      </w:r>
    </w:p>
    <w:p>
      <w:pPr>
        <w:spacing w:line="600" w:lineRule="exact"/>
        <w:ind w:firstLine="630"/>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eastAsia="zh-CN"/>
        </w:rPr>
        <w:t>2</w:t>
      </w:r>
      <w:r>
        <w:rPr>
          <w:rFonts w:hint="eastAsia" w:ascii="仿宋_GB2312" w:hAnsi="仿宋_GB2312" w:eastAsia="仿宋_GB2312"/>
          <w:color w:val="auto"/>
          <w:sz w:val="32"/>
          <w:szCs w:val="32"/>
        </w:rPr>
        <w:t>年度财政拨款“三公”经费支出</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eastAsia="zh-CN"/>
        </w:rPr>
        <w:t>5</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 xml:space="preserve">的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 xml:space="preserve">年增加（减少）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万元，增长（下降）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%，其中：</w:t>
      </w:r>
    </w:p>
    <w:p>
      <w:pPr>
        <w:spacing w:line="600" w:lineRule="exact"/>
        <w:ind w:firstLine="630"/>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（一）因公出国（境）支出</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万元，决算数为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 xml:space="preserve">年增加（减少）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万元，增长（下降）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eastAsia="zh-CN"/>
        </w:rPr>
        <w:t>主要原因是本单位无此项支出</w:t>
      </w:r>
      <w:r>
        <w:rPr>
          <w:rFonts w:hint="eastAsia" w:ascii="仿宋_GB2312" w:hAnsi="仿宋_GB2312" w:eastAsia="仿宋_GB2312" w:cs="Times New Roman"/>
          <w:color w:val="auto"/>
          <w:sz w:val="32"/>
          <w:szCs w:val="32"/>
        </w:rPr>
        <w:t>。</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w:t>
      </w:r>
      <w:r>
        <w:rPr>
          <w:rFonts w:hint="eastAsia" w:ascii="仿宋_GB2312" w:hAnsi="仿宋_GB2312" w:eastAsia="仿宋_GB2312" w:cs="Times New Roman"/>
          <w:color w:val="auto"/>
          <w:sz w:val="32"/>
          <w:szCs w:val="32"/>
          <w:lang w:eastAsia="zh-CN"/>
        </w:rPr>
        <w:t>是本单位无此项支出</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全年安排因公出国（境）团组 0 个，累计 0 人次，主要为：</w:t>
      </w:r>
      <w:r>
        <w:rPr>
          <w:rFonts w:hint="eastAsia" w:ascii="仿宋_GB2312" w:hAnsi="仿宋_GB2312" w:eastAsia="仿宋_GB2312" w:cs="Times New Roman"/>
          <w:color w:val="auto"/>
          <w:sz w:val="32"/>
          <w:szCs w:val="32"/>
          <w:lang w:eastAsia="zh-CN"/>
        </w:rPr>
        <w:t>是本单位无此项支出</w:t>
      </w:r>
      <w:r>
        <w:rPr>
          <w:rFonts w:hint="eastAsia" w:ascii="仿宋_GB2312" w:hAnsi="仿宋_GB2312" w:eastAsia="仿宋_GB2312"/>
          <w:color w:val="auto"/>
          <w:sz w:val="32"/>
          <w:szCs w:val="32"/>
        </w:rPr>
        <w:t>。</w:t>
      </w:r>
    </w:p>
    <w:p>
      <w:pPr>
        <w:spacing w:line="600" w:lineRule="exact"/>
        <w:ind w:firstLine="630"/>
        <w:jc w:val="both"/>
        <w:rPr>
          <w:rFonts w:ascii="仿宋_GB2312" w:hAnsi="仿宋_GB2312" w:eastAsia="仿宋_GB2312"/>
          <w:color w:val="auto"/>
          <w:sz w:val="32"/>
          <w:szCs w:val="32"/>
          <w:lang w:eastAsia="zh-CN"/>
        </w:rPr>
      </w:pPr>
      <w:r>
        <w:rPr>
          <w:rFonts w:hint="eastAsia" w:ascii="仿宋_GB2312" w:hAnsi="仿宋_GB2312" w:eastAsia="仿宋_GB2312"/>
          <w:color w:val="auto"/>
          <w:sz w:val="32"/>
          <w:szCs w:val="32"/>
        </w:rPr>
        <w:t>（二）公务接待费支出</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eastAsia="zh-CN"/>
        </w:rPr>
        <w:t>5</w:t>
      </w:r>
      <w:r>
        <w:rPr>
          <w:rFonts w:hint="eastAsia" w:ascii="仿宋_GB2312" w:hAnsi="仿宋_GB2312" w:eastAsia="仿宋_GB2312"/>
          <w:color w:val="auto"/>
          <w:sz w:val="32"/>
          <w:szCs w:val="32"/>
        </w:rPr>
        <w:t xml:space="preserve">  万元，决算数为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 xml:space="preserve">的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 xml:space="preserve">年增加（减少）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万元，增长（下降）</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eastAsia="zh-CN"/>
        </w:rPr>
        <w:t>主要原因是本单位无此项支出</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w:t>
      </w:r>
      <w:r>
        <w:rPr>
          <w:rFonts w:hint="eastAsia" w:ascii="仿宋_GB2312" w:hAnsi="仿宋_GB2312" w:eastAsia="仿宋_GB2312" w:cs="Times New Roman"/>
          <w:color w:val="auto"/>
          <w:sz w:val="32"/>
          <w:szCs w:val="32"/>
          <w:lang w:eastAsia="zh-CN"/>
        </w:rPr>
        <w:t>是本单位无此项支出</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全年国内公务接待 0 批，累计接待  0人次，其中外事接待 0  批，累计接待 0 人次，主要为</w:t>
      </w:r>
      <w:r>
        <w:rPr>
          <w:rFonts w:hint="eastAsia" w:ascii="仿宋_GB2312" w:hAnsi="仿宋_GB2312" w:eastAsia="仿宋_GB2312" w:cs="Times New Roman"/>
          <w:color w:val="auto"/>
          <w:sz w:val="32"/>
          <w:szCs w:val="32"/>
          <w:lang w:eastAsia="zh-CN"/>
        </w:rPr>
        <w:t>是本单位无此项支出</w:t>
      </w:r>
      <w:r>
        <w:rPr>
          <w:rFonts w:hint="eastAsia" w:ascii="仿宋_GB2312" w:hAnsi="仿宋_GB2312" w:eastAsia="仿宋_GB2312"/>
          <w:color w:val="auto"/>
          <w:sz w:val="32"/>
          <w:szCs w:val="32"/>
        </w:rPr>
        <w:t>。</w:t>
      </w:r>
    </w:p>
    <w:p>
      <w:pPr>
        <w:spacing w:line="600" w:lineRule="exact"/>
        <w:ind w:firstLine="630"/>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 xml:space="preserve">（三）公务用车购置及运行维护费支出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万元，其中公务用车购置</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万元，决算数为</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 xml:space="preserve">的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万元，增长（下降）</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eastAsia="zh-CN"/>
        </w:rPr>
        <w:t>主要原因是本单位无此项支出</w:t>
      </w:r>
      <w:r>
        <w:rPr>
          <w:rFonts w:hint="eastAsia" w:ascii="仿宋_GB2312" w:hAnsi="仿宋_GB2312" w:eastAsia="仿宋_GB2312"/>
          <w:color w:val="auto"/>
          <w:sz w:val="32"/>
          <w:szCs w:val="32"/>
          <w:lang w:eastAsia="zh-CN"/>
        </w:rPr>
        <w:t>，全年购置公务用车0   辆</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w:t>
      </w:r>
      <w:r>
        <w:rPr>
          <w:rFonts w:hint="eastAsia" w:ascii="仿宋_GB2312" w:hAnsi="仿宋_GB2312" w:eastAsia="仿宋_GB2312" w:cs="Times New Roman"/>
          <w:color w:val="auto"/>
          <w:sz w:val="32"/>
          <w:szCs w:val="32"/>
          <w:lang w:eastAsia="zh-CN"/>
        </w:rPr>
        <w:t>是本单位无此项支出</w:t>
      </w:r>
      <w:r>
        <w:rPr>
          <w:rFonts w:hint="eastAsia" w:ascii="仿宋_GB2312" w:hAnsi="仿宋_GB2312" w:eastAsia="仿宋_GB2312"/>
          <w:color w:val="auto"/>
          <w:sz w:val="32"/>
          <w:szCs w:val="32"/>
        </w:rPr>
        <w:t>；公务用车运行维护费支出</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万元，决算数为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 xml:space="preserve">年增加（减少）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万元，增长（下降）</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eastAsia="zh-CN"/>
        </w:rPr>
        <w:t>主要原因是本单位无此项支出</w:t>
      </w:r>
      <w:r>
        <w:rPr>
          <w:rFonts w:hint="eastAsia" w:ascii="仿宋_GB2312" w:hAnsi="仿宋_GB2312" w:eastAsia="仿宋_GB2312"/>
          <w:color w:val="auto"/>
          <w:sz w:val="32"/>
          <w:szCs w:val="32"/>
          <w:lang w:eastAsia="zh-CN"/>
        </w:rPr>
        <w:t>，年末公务用车保有  0辆</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w:t>
      </w:r>
      <w:r>
        <w:rPr>
          <w:rFonts w:hint="eastAsia" w:ascii="仿宋_GB2312" w:hAnsi="仿宋_GB2312" w:eastAsia="仿宋_GB2312" w:cs="Times New Roman"/>
          <w:color w:val="auto"/>
          <w:sz w:val="32"/>
          <w:szCs w:val="32"/>
          <w:lang w:eastAsia="zh-CN"/>
        </w:rPr>
        <w:t>本单位无此项支出</w:t>
      </w:r>
      <w:r>
        <w:rPr>
          <w:rFonts w:hint="eastAsia" w:ascii="仿宋_GB2312" w:hAnsi="仿宋_GB2312" w:eastAsia="仿宋_GB2312"/>
          <w:color w:val="auto"/>
          <w:sz w:val="32"/>
          <w:szCs w:val="32"/>
        </w:rPr>
        <w:t>。</w:t>
      </w:r>
    </w:p>
    <w:p>
      <w:pPr>
        <w:spacing w:line="600" w:lineRule="exact"/>
        <w:ind w:firstLine="630"/>
        <w:jc w:val="both"/>
        <w:rPr>
          <w:rFonts w:ascii="仿宋_GB2312" w:hAnsi="仿宋_GB2312" w:eastAsia="仿宋_GB2312"/>
          <w:color w:val="auto"/>
          <w:sz w:val="32"/>
          <w:szCs w:val="32"/>
          <w:lang w:eastAsia="zh-CN"/>
        </w:rPr>
      </w:pPr>
      <w:r>
        <w:rPr>
          <w:rFonts w:hint="eastAsia" w:ascii="黑体" w:hAnsi="黑体" w:eastAsia="黑体"/>
          <w:color w:val="auto"/>
          <w:sz w:val="32"/>
          <w:szCs w:val="32"/>
        </w:rPr>
        <w:t>六、机关运行经费支出情况说明</w:t>
      </w:r>
      <w:r>
        <w:rPr>
          <w:rFonts w:hint="eastAsia" w:ascii="仿宋_GB2312" w:hAnsi="仿宋_GB2312" w:eastAsia="仿宋_GB2312"/>
          <w:color w:val="auto"/>
          <w:sz w:val="32"/>
          <w:szCs w:val="32"/>
          <w:lang w:eastAsia="zh-CN"/>
        </w:rPr>
        <w:t>：“本单位不是</w:t>
      </w:r>
      <w:r>
        <w:rPr>
          <w:rFonts w:hint="eastAsia" w:ascii="仿宋_GB2312" w:hAnsi="仿宋_GB2312" w:eastAsia="仿宋_GB2312"/>
          <w:color w:val="auto"/>
          <w:sz w:val="32"/>
          <w:szCs w:val="32"/>
        </w:rPr>
        <w:t>行政单位</w:t>
      </w:r>
      <w:r>
        <w:rPr>
          <w:rFonts w:hint="eastAsia" w:ascii="仿宋_GB2312" w:hAnsi="仿宋_GB2312" w:eastAsia="仿宋_GB2312"/>
          <w:color w:val="auto"/>
          <w:sz w:val="32"/>
          <w:szCs w:val="32"/>
          <w:lang w:eastAsia="zh-CN"/>
        </w:rPr>
        <w:t>或</w:t>
      </w:r>
      <w:r>
        <w:rPr>
          <w:rFonts w:hint="eastAsia" w:ascii="仿宋_GB2312" w:hAnsi="仿宋_GB2312" w:eastAsia="仿宋_GB2312"/>
          <w:color w:val="auto"/>
          <w:sz w:val="32"/>
          <w:szCs w:val="32"/>
        </w:rPr>
        <w:t>参照公务员法管理事业单位</w:t>
      </w:r>
      <w:r>
        <w:rPr>
          <w:rFonts w:hint="eastAsia" w:ascii="仿宋_GB2312" w:hAnsi="仿宋_GB2312" w:eastAsia="仿宋_GB2312"/>
          <w:color w:val="auto"/>
          <w:sz w:val="32"/>
          <w:szCs w:val="32"/>
          <w:lang w:eastAsia="zh-CN"/>
        </w:rPr>
        <w:t>，故无机关运行经费支出”）</w:t>
      </w:r>
      <w:r>
        <w:rPr>
          <w:rFonts w:hint="eastAsia" w:ascii="仿宋_GB2312" w:hAnsi="仿宋_GB2312" w:eastAsia="仿宋_GB2312"/>
          <w:color w:val="auto"/>
          <w:sz w:val="32"/>
          <w:szCs w:val="32"/>
        </w:rPr>
        <w:t xml:space="preserve"> </w:t>
      </w:r>
    </w:p>
    <w:p>
      <w:pPr>
        <w:spacing w:line="600" w:lineRule="exact"/>
        <w:ind w:firstLine="630"/>
        <w:jc w:val="both"/>
        <w:rPr>
          <w:rFonts w:ascii="黑体" w:hAnsi="黑体" w:eastAsia="黑体"/>
          <w:color w:val="auto"/>
          <w:sz w:val="32"/>
          <w:szCs w:val="32"/>
        </w:rPr>
      </w:pPr>
      <w:r>
        <w:rPr>
          <w:rFonts w:hint="eastAsia" w:ascii="黑体" w:hAnsi="黑体" w:eastAsia="黑体"/>
          <w:color w:val="auto"/>
          <w:sz w:val="32"/>
          <w:szCs w:val="32"/>
        </w:rPr>
        <w:t>七、政府采购支出情况说明</w:t>
      </w:r>
    </w:p>
    <w:p>
      <w:pPr>
        <w:pStyle w:val="5"/>
        <w:spacing w:line="600" w:lineRule="exact"/>
        <w:ind w:firstLine="600"/>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eastAsia="zh-CN"/>
        </w:rPr>
        <w:t>2</w:t>
      </w:r>
      <w:r>
        <w:rPr>
          <w:rFonts w:hint="eastAsia" w:ascii="仿宋_GB2312" w:hAnsi="仿宋_GB2312" w:eastAsia="仿宋_GB2312"/>
          <w:color w:val="auto"/>
          <w:sz w:val="32"/>
          <w:szCs w:val="32"/>
        </w:rPr>
        <w:t xml:space="preserve">年度政府采购支出总额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万元，其中：政府采购货物支出</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万元、政府采购工程支出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万元、政府采购服务支出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万元。授予中小企业合同金额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万元，占政府采购支出总额的</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%，其中：授予小微企业合同金额</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万元，占</w:t>
      </w:r>
      <w:r>
        <w:rPr>
          <w:rFonts w:hint="eastAsia" w:ascii="仿宋_GB2312" w:hAnsi="仿宋_GB2312" w:eastAsia="仿宋_GB2312"/>
          <w:b/>
          <w:bCs/>
          <w:color w:val="FF0000"/>
          <w:sz w:val="32"/>
          <w:szCs w:val="32"/>
        </w:rPr>
        <w:t>授予中小企业合同金额</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；货物采购授予中小企业合同金额占货物支出金额的  0  %，工程采购授予中小企业合同金额占工程支出金额的 0   %，服务采购授予中小企业合同金额占服务支出金额的   0  %。</w:t>
      </w:r>
    </w:p>
    <w:p>
      <w:pPr>
        <w:spacing w:line="600" w:lineRule="exact"/>
        <w:ind w:firstLine="630"/>
        <w:jc w:val="both"/>
        <w:rPr>
          <w:rFonts w:ascii="黑体" w:hAnsi="黑体" w:eastAsia="黑体"/>
          <w:color w:val="auto"/>
          <w:sz w:val="32"/>
          <w:szCs w:val="32"/>
        </w:rPr>
      </w:pPr>
      <w:r>
        <w:rPr>
          <w:rFonts w:hint="eastAsia" w:ascii="黑体" w:hAnsi="黑体" w:eastAsia="黑体"/>
          <w:color w:val="auto"/>
          <w:sz w:val="32"/>
          <w:szCs w:val="32"/>
        </w:rPr>
        <w:t>八、国有资产占用情况说明</w:t>
      </w:r>
    </w:p>
    <w:p>
      <w:pPr>
        <w:spacing w:line="600" w:lineRule="exact"/>
        <w:ind w:firstLine="630"/>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截止202</w:t>
      </w:r>
      <w:r>
        <w:rPr>
          <w:rFonts w:hint="eastAsia" w:ascii="仿宋_GB2312" w:hAnsi="仿宋_GB2312" w:eastAsia="仿宋_GB2312"/>
          <w:color w:val="auto"/>
          <w:sz w:val="32"/>
          <w:szCs w:val="32"/>
          <w:lang w:eastAsia="zh-CN"/>
        </w:rPr>
        <w:t>2</w:t>
      </w:r>
      <w:r>
        <w:rPr>
          <w:rFonts w:hint="eastAsia" w:ascii="仿宋_GB2312" w:hAnsi="仿宋_GB2312" w:eastAsia="仿宋_GB2312"/>
          <w:color w:val="auto"/>
          <w:sz w:val="32"/>
          <w:szCs w:val="32"/>
        </w:rPr>
        <w:t>年12月31日，本</w:t>
      </w:r>
      <w:r>
        <w:rPr>
          <w:rFonts w:hint="eastAsia" w:ascii="仿宋_GB2312" w:hAnsi="仿宋_GB2312" w:eastAsia="仿宋_GB2312"/>
          <w:color w:val="auto"/>
          <w:sz w:val="32"/>
          <w:szCs w:val="32"/>
          <w:lang w:eastAsia="zh-CN"/>
        </w:rPr>
        <w:t>单位</w:t>
      </w:r>
      <w:r>
        <w:rPr>
          <w:rFonts w:hint="eastAsia" w:ascii="仿宋_GB2312" w:hAnsi="仿宋_GB2312" w:eastAsia="仿宋_GB2312"/>
          <w:color w:val="auto"/>
          <w:sz w:val="32"/>
          <w:szCs w:val="32"/>
        </w:rPr>
        <w:t>国有资产占用情况见</w:t>
      </w:r>
      <w:r>
        <w:rPr>
          <w:rFonts w:hint="eastAsia" w:ascii="仿宋_GB2312" w:hAnsi="仿宋_GB2312" w:eastAsia="仿宋_GB2312"/>
          <w:color w:val="auto"/>
          <w:sz w:val="32"/>
          <w:szCs w:val="32"/>
          <w:lang w:eastAsia="zh-CN"/>
        </w:rPr>
        <w:t>公开10</w:t>
      </w:r>
      <w:r>
        <w:rPr>
          <w:rFonts w:hint="eastAsia" w:ascii="仿宋_GB2312" w:hAnsi="仿宋_GB2312" w:eastAsia="仿宋_GB2312"/>
          <w:color w:val="auto"/>
          <w:sz w:val="32"/>
          <w:szCs w:val="32"/>
        </w:rPr>
        <w:t>表《国有资产占用情况表》。其中车辆中的其他用车主要是</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eastAsia="zh-CN"/>
        </w:rPr>
        <w:t>是本单位无此项支出</w:t>
      </w:r>
      <w:r>
        <w:rPr>
          <w:rFonts w:hint="eastAsia" w:ascii="仿宋_GB2312" w:hAnsi="仿宋_GB2312" w:eastAsia="仿宋_GB2312"/>
          <w:color w:val="auto"/>
          <w:sz w:val="32"/>
          <w:szCs w:val="32"/>
        </w:rPr>
        <w:t>。</w:t>
      </w:r>
    </w:p>
    <w:p>
      <w:pPr>
        <w:spacing w:line="600" w:lineRule="exact"/>
        <w:ind w:firstLine="640" w:firstLineChars="200"/>
        <w:jc w:val="both"/>
        <w:rPr>
          <w:rFonts w:ascii="黑体" w:hAnsi="黑体" w:eastAsia="黑体"/>
          <w:color w:val="auto"/>
          <w:sz w:val="32"/>
          <w:szCs w:val="32"/>
          <w:lang w:eastAsia="zh-CN"/>
        </w:rPr>
      </w:pPr>
      <w:r>
        <w:rPr>
          <w:rFonts w:hint="eastAsia" w:ascii="黑体" w:hAnsi="黑体" w:eastAsia="黑体"/>
          <w:color w:val="auto"/>
          <w:sz w:val="32"/>
          <w:szCs w:val="32"/>
        </w:rPr>
        <w:t>九、预算绩效</w:t>
      </w:r>
      <w:r>
        <w:rPr>
          <w:rFonts w:hint="eastAsia" w:ascii="黑体" w:hAnsi="黑体" w:eastAsia="黑体"/>
          <w:color w:val="FF0000"/>
          <w:sz w:val="32"/>
          <w:szCs w:val="32"/>
          <w:lang w:eastAsia="zh-CN"/>
        </w:rPr>
        <w:t>评价</w:t>
      </w:r>
      <w:r>
        <w:rPr>
          <w:rFonts w:hint="eastAsia" w:ascii="黑体" w:hAnsi="黑体" w:eastAsia="黑体"/>
          <w:color w:val="auto"/>
          <w:sz w:val="32"/>
          <w:szCs w:val="32"/>
        </w:rPr>
        <w:t>情况说明</w:t>
      </w:r>
    </w:p>
    <w:p>
      <w:pPr>
        <w:spacing w:line="60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（一）绩效</w:t>
      </w:r>
      <w:r>
        <w:rPr>
          <w:rFonts w:hint="eastAsia" w:ascii="仿宋_GB2312" w:hAnsi="仿宋_GB2312" w:eastAsia="仿宋_GB2312" w:cs="仿宋_GB2312"/>
          <w:b/>
          <w:bCs/>
          <w:color w:val="FF0000"/>
          <w:sz w:val="32"/>
          <w:szCs w:val="32"/>
          <w:lang w:eastAsia="zh-CN"/>
        </w:rPr>
        <w:t>评价</w:t>
      </w:r>
      <w:r>
        <w:rPr>
          <w:rFonts w:hint="eastAsia" w:ascii="仿宋_GB2312" w:hAnsi="仿宋_GB2312" w:eastAsia="仿宋_GB2312" w:cs="仿宋_GB2312"/>
          <w:color w:val="auto"/>
          <w:sz w:val="32"/>
          <w:szCs w:val="32"/>
        </w:rPr>
        <w:t>工作开展情况。</w:t>
      </w:r>
    </w:p>
    <w:p>
      <w:pPr>
        <w:spacing w:line="60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根据预算绩效管理要求，我</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组织对</w:t>
      </w:r>
      <w:r>
        <w:rPr>
          <w:rFonts w:hint="eastAsia" w:ascii="仿宋_GB2312" w:hAnsi="仿宋_GB2312" w:eastAsia="仿宋_GB2312" w:cs="仿宋_GB2312"/>
          <w:color w:val="auto"/>
          <w:sz w:val="32"/>
          <w:szCs w:val="32"/>
          <w:lang w:eastAsia="zh-CN"/>
        </w:rPr>
        <w:t>纳入</w:t>
      </w:r>
      <w:r>
        <w:rPr>
          <w:rFonts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rPr>
        <w:t>年度</w:t>
      </w:r>
      <w:r>
        <w:rPr>
          <w:rFonts w:hint="eastAsia" w:ascii="仿宋_GB2312" w:hAnsi="仿宋_GB2312" w:eastAsia="仿宋_GB2312" w:cs="仿宋_GB2312"/>
          <w:color w:val="auto"/>
          <w:sz w:val="32"/>
          <w:szCs w:val="32"/>
          <w:lang w:eastAsia="zh-CN"/>
        </w:rPr>
        <w:t>部门预算范围的二级项目 1  个</w:t>
      </w:r>
      <w:r>
        <w:rPr>
          <w:rFonts w:hint="eastAsia" w:ascii="仿宋_GB2312" w:hAnsi="仿宋_GB2312" w:eastAsia="仿宋_GB2312" w:cs="仿宋_GB2312"/>
          <w:color w:val="auto"/>
          <w:sz w:val="32"/>
          <w:szCs w:val="32"/>
        </w:rPr>
        <w:t xml:space="preserve">全面开展绩效自评，共涉及资金 </w:t>
      </w:r>
      <w:r>
        <w:rPr>
          <w:rFonts w:hint="eastAsia" w:ascii="仿宋_GB2312" w:hAnsi="仿宋_GB2312" w:eastAsia="仿宋_GB2312" w:cs="仿宋_GB2312"/>
          <w:color w:val="auto"/>
          <w:sz w:val="32"/>
          <w:szCs w:val="32"/>
          <w:lang w:eastAsia="zh-CN"/>
        </w:rPr>
        <w:t>5</w:t>
      </w:r>
      <w:r>
        <w:rPr>
          <w:rFonts w:hint="eastAsia" w:ascii="仿宋_GB2312" w:hAnsi="仿宋_GB2312" w:eastAsia="仿宋_GB2312" w:cs="仿宋_GB2312"/>
          <w:color w:val="auto"/>
          <w:sz w:val="32"/>
          <w:szCs w:val="32"/>
        </w:rPr>
        <w:t xml:space="preserve"> 万元，占项目支出总额的 </w:t>
      </w:r>
      <w:r>
        <w:rPr>
          <w:rFonts w:hint="eastAsia" w:ascii="仿宋_GB2312" w:hAnsi="仿宋_GB2312" w:eastAsia="仿宋_GB2312" w:cs="仿宋_GB2312"/>
          <w:color w:val="auto"/>
          <w:sz w:val="32"/>
          <w:szCs w:val="32"/>
          <w:lang w:eastAsia="zh-CN"/>
        </w:rPr>
        <w:t>78</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 xml:space="preserve">%。    </w:t>
      </w:r>
    </w:p>
    <w:p>
      <w:pPr>
        <w:spacing w:line="600" w:lineRule="exact"/>
        <w:ind w:firstLine="640" w:firstLineChars="200"/>
        <w:jc w:val="both"/>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（二）单位</w:t>
      </w:r>
      <w:r>
        <w:rPr>
          <w:rFonts w:hint="eastAsia" w:ascii="仿宋_GB2312" w:hAnsi="仿宋_GB2312" w:eastAsia="仿宋_GB2312" w:cs="仿宋_GB2312"/>
          <w:color w:val="auto"/>
          <w:sz w:val="32"/>
          <w:szCs w:val="32"/>
        </w:rPr>
        <w:t>决算中项目绩效自评</w:t>
      </w:r>
      <w:r>
        <w:rPr>
          <w:rFonts w:hint="eastAsia" w:ascii="仿宋_GB2312" w:hAnsi="仿宋_GB2312" w:eastAsia="仿宋_GB2312" w:cs="仿宋_GB2312"/>
          <w:color w:val="auto"/>
          <w:sz w:val="32"/>
          <w:szCs w:val="32"/>
          <w:lang w:eastAsia="zh-CN"/>
        </w:rPr>
        <w:t>结果</w:t>
      </w:r>
      <w:r>
        <w:rPr>
          <w:rFonts w:hint="eastAsia" w:ascii="仿宋_GB2312" w:hAnsi="仿宋_GB2312" w:eastAsia="仿宋_GB2312" w:cs="仿宋_GB2312"/>
          <w:color w:val="auto"/>
          <w:sz w:val="32"/>
          <w:szCs w:val="32"/>
        </w:rPr>
        <w:t>。</w:t>
      </w:r>
    </w:p>
    <w:p>
      <w:pPr>
        <w:spacing w:line="600" w:lineRule="exact"/>
        <w:ind w:firstLine="640" w:firstLineChars="200"/>
        <w:jc w:val="both"/>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将2022年度《项目支出绩效自评表》（自选1个项目）进行公开。</w:t>
      </w:r>
    </w:p>
    <w:p>
      <w:pPr>
        <w:spacing w:line="600" w:lineRule="exact"/>
        <w:ind w:firstLine="640" w:firstLineChars="200"/>
        <w:jc w:val="both"/>
        <w:rPr>
          <w:rFonts w:ascii="仿宋_GB2312" w:hAnsi="仿宋_GB2312" w:eastAsia="仿宋_GB2312" w:cs="仿宋_GB2312"/>
          <w:color w:val="auto"/>
          <w:sz w:val="32"/>
          <w:szCs w:val="32"/>
          <w:lang w:eastAsia="zh-CN"/>
        </w:rPr>
      </w:pPr>
    </w:p>
    <w:p>
      <w:pPr>
        <w:spacing w:line="600" w:lineRule="exact"/>
        <w:ind w:firstLine="640" w:firstLineChars="200"/>
        <w:jc w:val="both"/>
        <w:rPr>
          <w:rFonts w:ascii="仿宋_GB2312" w:hAnsi="仿宋_GB2312" w:eastAsia="仿宋_GB2312" w:cs="仿宋_GB2312"/>
          <w:color w:val="auto"/>
          <w:sz w:val="32"/>
          <w:szCs w:val="32"/>
          <w:lang w:eastAsia="zh-CN"/>
        </w:rPr>
      </w:pPr>
    </w:p>
    <w:p>
      <w:pPr>
        <w:spacing w:line="360" w:lineRule="auto"/>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r>
        <w:rPr>
          <w:lang w:eastAsia="zh-CN"/>
        </w:rPr>
        <w:drawing>
          <wp:inline distT="0" distB="0" distL="114300" distR="114300">
            <wp:extent cx="5200650" cy="7086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cstate="print"/>
                    <a:stretch>
                      <a:fillRect/>
                    </a:stretch>
                  </pic:blipFill>
                  <pic:spPr>
                    <a:xfrm>
                      <a:off x="0" y="0"/>
                      <a:ext cx="5200650" cy="7086600"/>
                    </a:xfrm>
                    <a:prstGeom prst="rect">
                      <a:avLst/>
                    </a:prstGeom>
                    <a:noFill/>
                    <a:ln>
                      <a:noFill/>
                    </a:ln>
                  </pic:spPr>
                </pic:pic>
              </a:graphicData>
            </a:graphic>
          </wp:inline>
        </w:drawing>
      </w:r>
    </w:p>
    <w:p>
      <w:pPr>
        <w:spacing w:line="600" w:lineRule="exact"/>
        <w:jc w:val="center"/>
        <w:rPr>
          <w:rFonts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第四部分</w:t>
      </w:r>
      <w:r>
        <w:rPr>
          <w:rFonts w:ascii="方正小标宋简体" w:hAnsi="方正小标宋简体" w:eastAsia="方正小标宋简体" w:cs="方正小标宋简体"/>
          <w:color w:val="auto"/>
          <w:sz w:val="44"/>
          <w:szCs w:val="44"/>
          <w:lang w:eastAsia="zh-CN"/>
        </w:rPr>
        <w:t xml:space="preserve">  </w:t>
      </w:r>
      <w:r>
        <w:rPr>
          <w:rFonts w:hint="eastAsia" w:ascii="方正小标宋简体" w:hAnsi="方正小标宋简体" w:eastAsia="方正小标宋简体" w:cs="方正小标宋简体"/>
          <w:color w:val="auto"/>
          <w:sz w:val="44"/>
          <w:szCs w:val="44"/>
          <w:lang w:eastAsia="zh-CN"/>
        </w:rPr>
        <w:t>名词解释</w:t>
      </w:r>
    </w:p>
    <w:p>
      <w:pPr>
        <w:spacing w:line="600" w:lineRule="exact"/>
        <w:jc w:val="center"/>
        <w:rPr>
          <w:rFonts w:ascii="方正小标宋简体" w:hAnsi="方正小标宋简体" w:eastAsia="方正小标宋简体" w:cs="方正小标宋简体"/>
          <w:color w:val="auto"/>
          <w:sz w:val="44"/>
          <w:szCs w:val="44"/>
          <w:lang w:eastAsia="zh-CN"/>
        </w:rPr>
      </w:pP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1</w:t>
      </w:r>
      <w:r>
        <w:rPr>
          <w:rFonts w:hint="eastAsia" w:ascii="仿宋" w:hAnsi="仿宋" w:eastAsia="仿宋" w:cs="方正小标宋简体"/>
          <w:color w:val="auto"/>
          <w:sz w:val="32"/>
          <w:szCs w:val="32"/>
          <w:lang w:eastAsia="zh-CN"/>
        </w:rPr>
        <w:t>、基本支出：是指预算单位为保障其机构正常运转、完成日常工作任务而需要发生的支出，包括人员经费和日常公用经费两部分。</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2</w:t>
      </w:r>
      <w:r>
        <w:rPr>
          <w:rFonts w:hint="eastAsia" w:ascii="仿宋" w:hAnsi="仿宋" w:eastAsia="仿宋" w:cs="方正小标宋简体"/>
          <w:color w:val="auto"/>
          <w:sz w:val="32"/>
          <w:szCs w:val="32"/>
          <w:lang w:eastAsia="zh-CN"/>
        </w:rPr>
        <w:t>、项目支出：是指预算单位在基本支出之外为完成其特定行政任务或事业发展目标所发生的支出。</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3</w:t>
      </w:r>
      <w:r>
        <w:rPr>
          <w:rFonts w:hint="eastAsia" w:ascii="仿宋" w:hAnsi="仿宋" w:eastAsia="仿宋" w:cs="方正小标宋简体"/>
          <w:color w:val="auto"/>
          <w:sz w:val="32"/>
          <w:szCs w:val="32"/>
          <w:lang w:eastAsia="zh-CN"/>
        </w:rPr>
        <w:t>、财政拨款：指县级财政当年拨付的资金。</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4</w:t>
      </w:r>
      <w:r>
        <w:rPr>
          <w:rFonts w:hint="eastAsia" w:ascii="仿宋" w:hAnsi="仿宋" w:eastAsia="仿宋" w:cs="方正小标宋简体"/>
          <w:color w:val="auto"/>
          <w:sz w:val="32"/>
          <w:szCs w:val="32"/>
          <w:lang w:eastAsia="zh-CN"/>
        </w:rPr>
        <w:t>、事业收入：指事业单位开展专业业务活动及辅助活动取得的收入。</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5</w:t>
      </w:r>
      <w:r>
        <w:rPr>
          <w:rFonts w:hint="eastAsia" w:ascii="仿宋" w:hAnsi="仿宋" w:eastAsia="仿宋" w:cs="方正小标宋简体"/>
          <w:color w:val="auto"/>
          <w:sz w:val="32"/>
          <w:szCs w:val="32"/>
          <w:lang w:eastAsia="zh-CN"/>
        </w:rPr>
        <w:t>、事业单位经营收入：指事业单位在专业业务活动及辅助活动之外开展非独立核算经营活动取得的收入。</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6</w:t>
      </w:r>
      <w:r>
        <w:rPr>
          <w:rFonts w:hint="eastAsia" w:ascii="仿宋" w:hAnsi="仿宋" w:eastAsia="仿宋" w:cs="方正小标宋简体"/>
          <w:color w:val="auto"/>
          <w:sz w:val="32"/>
          <w:szCs w:val="32"/>
          <w:lang w:eastAsia="zh-CN"/>
        </w:rPr>
        <w:t>、上年结转和结余：指以前年度滚存结转结余资金。</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7</w:t>
      </w:r>
      <w:r>
        <w:rPr>
          <w:rFonts w:hint="eastAsia" w:ascii="仿宋" w:hAnsi="仿宋" w:eastAsia="仿宋" w:cs="方正小标宋简体"/>
          <w:color w:val="auto"/>
          <w:sz w:val="32"/>
          <w:szCs w:val="32"/>
          <w:lang w:eastAsia="zh-CN"/>
        </w:rPr>
        <w:t>、行政运行：反映行政单位（包括参公单位）的基本支出。</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8</w:t>
      </w:r>
      <w:r>
        <w:rPr>
          <w:rFonts w:hint="eastAsia" w:ascii="仿宋" w:hAnsi="仿宋" w:eastAsia="仿宋" w:cs="方正小标宋简体"/>
          <w:color w:val="auto"/>
          <w:sz w:val="32"/>
          <w:szCs w:val="32"/>
          <w:lang w:eastAsia="zh-CN"/>
        </w:rPr>
        <w:t>、事业运行：反映事业单位的基本支出。</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9</w:t>
      </w:r>
      <w:r>
        <w:rPr>
          <w:rFonts w:hint="eastAsia" w:ascii="仿宋" w:hAnsi="仿宋" w:eastAsia="仿宋" w:cs="方正小标宋简体"/>
          <w:color w:val="auto"/>
          <w:sz w:val="32"/>
          <w:szCs w:val="32"/>
          <w:lang w:eastAsia="zh-CN"/>
        </w:rPr>
        <w:t>、机关事业单位基本养老保险缴费支出：反映机关事业单位实施养老保险制度由单位缴纳的基本养老保险费支出。</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10</w:t>
      </w:r>
      <w:r>
        <w:rPr>
          <w:rFonts w:hint="eastAsia" w:ascii="仿宋" w:hAnsi="仿宋" w:eastAsia="仿宋" w:cs="方正小标宋简体"/>
          <w:color w:val="auto"/>
          <w:sz w:val="32"/>
          <w:szCs w:val="32"/>
          <w:lang w:eastAsia="zh-CN"/>
        </w:rPr>
        <w:t>、机关事业单位职业年金缴费支出：反映机关事业单位实施养老保险制度由单位实际缴纳的职业年金支出。</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11</w:t>
      </w:r>
      <w:r>
        <w:rPr>
          <w:rFonts w:hint="eastAsia" w:ascii="仿宋" w:hAnsi="仿宋" w:eastAsia="仿宋" w:cs="方正小标宋简体"/>
          <w:color w:val="auto"/>
          <w:sz w:val="32"/>
          <w:szCs w:val="32"/>
          <w:lang w:eastAsia="zh-CN"/>
        </w:rPr>
        <w:t>、住房公积金：反映行政事业单位按人力资源和社会保障部、财政部规定的基本工资和津补贴以及规定比例为职工缴纳的住房公积金。</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12</w:t>
      </w:r>
      <w:r>
        <w:rPr>
          <w:rFonts w:hint="eastAsia" w:ascii="仿宋" w:hAnsi="仿宋" w:eastAsia="仿宋" w:cs="方正小标宋简体"/>
          <w:color w:val="auto"/>
          <w:sz w:val="32"/>
          <w:szCs w:val="32"/>
          <w:lang w:eastAsia="zh-CN"/>
        </w:rPr>
        <w:t>、“三公”经费：纳入预算管理的“三公”经费，是指用财政拨款安排的因公出国（境）费、公务用车购置及运行费和公务接待费。</w:t>
      </w:r>
    </w:p>
    <w:p>
      <w:pPr>
        <w:spacing w:line="600" w:lineRule="exact"/>
        <w:ind w:firstLine="640" w:firstLineChars="200"/>
        <w:rPr>
          <w:rFonts w:ascii="仿宋_GB2312" w:hAnsi="仿宋_GB2312" w:eastAsia="仿宋_GB2312"/>
          <w:color w:val="auto"/>
          <w:sz w:val="32"/>
          <w:szCs w:val="32"/>
          <w:lang w:eastAsia="zh-CN"/>
        </w:rPr>
      </w:pPr>
      <w:r>
        <w:rPr>
          <w:rFonts w:ascii="仿宋" w:hAnsi="仿宋" w:eastAsia="仿宋" w:cs="方正小标宋简体"/>
          <w:color w:val="auto"/>
          <w:sz w:val="32"/>
          <w:szCs w:val="32"/>
          <w:lang w:eastAsia="zh-CN"/>
        </w:rPr>
        <w:t>13</w:t>
      </w:r>
      <w:r>
        <w:rPr>
          <w:rFonts w:hint="eastAsia" w:ascii="仿宋" w:hAnsi="仿宋" w:eastAsia="仿宋" w:cs="方正小标宋简体"/>
          <w:color w:val="auto"/>
          <w:sz w:val="32"/>
          <w:szCs w:val="32"/>
          <w:lang w:eastAsia="zh-CN"/>
        </w:rPr>
        <w:t>、机关运行经费：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lang w:eastAsia="zh-CN"/>
        </w:rPr>
      </w:pPr>
    </w:p>
    <w:p>
      <w:pPr>
        <w:spacing w:line="600" w:lineRule="exact"/>
        <w:jc w:val="cente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274"/>
      <w:rPr>
        <w:rFonts w:ascii="宋体" w:hAnsi="宋体" w:eastAsia="宋体" w:cs="宋体"/>
        <w:sz w:val="28"/>
        <w:szCs w:val="28"/>
      </w:rPr>
    </w:pPr>
    <w:r>
      <w:rPr>
        <w:rFonts w:ascii="宋体" w:hAnsi="宋体" w:eastAsia="宋体" w:cs="宋体"/>
        <w:spacing w:val="-3"/>
        <w:sz w:val="28"/>
        <w:szCs w:val="28"/>
      </w:rPr>
      <w:t>—2—</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2YTY1Y2YxZmFlOTM1N2U4ZWQ1NjA4ZGY5M2RkODEifQ=="/>
  </w:docVars>
  <w:rsids>
    <w:rsidRoot w:val="6D7D6800"/>
    <w:rsid w:val="0044673B"/>
    <w:rsid w:val="00CD42CB"/>
    <w:rsid w:val="00DD14CD"/>
    <w:rsid w:val="01B6046E"/>
    <w:rsid w:val="072155FB"/>
    <w:rsid w:val="0E8310B2"/>
    <w:rsid w:val="0E9A6A80"/>
    <w:rsid w:val="0F024CF3"/>
    <w:rsid w:val="13AE71F7"/>
    <w:rsid w:val="19B971DA"/>
    <w:rsid w:val="1B0F49AF"/>
    <w:rsid w:val="1BA0502A"/>
    <w:rsid w:val="21C422DC"/>
    <w:rsid w:val="238E66E4"/>
    <w:rsid w:val="289B7D65"/>
    <w:rsid w:val="2DBA338E"/>
    <w:rsid w:val="2F5E5B1E"/>
    <w:rsid w:val="36AC3746"/>
    <w:rsid w:val="378A48FF"/>
    <w:rsid w:val="39F01A68"/>
    <w:rsid w:val="3D1E069A"/>
    <w:rsid w:val="3F86609A"/>
    <w:rsid w:val="43DD46CB"/>
    <w:rsid w:val="44086B95"/>
    <w:rsid w:val="44EE2822"/>
    <w:rsid w:val="45AD4CB1"/>
    <w:rsid w:val="485A0F31"/>
    <w:rsid w:val="4E564138"/>
    <w:rsid w:val="50632B3C"/>
    <w:rsid w:val="52521775"/>
    <w:rsid w:val="59050C34"/>
    <w:rsid w:val="59E1569F"/>
    <w:rsid w:val="67DC1D26"/>
    <w:rsid w:val="6D385096"/>
    <w:rsid w:val="6D7D6800"/>
    <w:rsid w:val="6FB97C2B"/>
    <w:rsid w:val="73DB0AB8"/>
    <w:rsid w:val="7B695FCD"/>
    <w:rsid w:val="7FD00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uiPriority w:val="0"/>
    <w:rPr>
      <w:sz w:val="18"/>
      <w:szCs w:val="18"/>
    </w:rPr>
  </w:style>
  <w:style w:type="paragraph" w:customStyle="1" w:styleId="5">
    <w:name w:val="p0"/>
    <w:basedOn w:val="1"/>
    <w:qFormat/>
    <w:uiPriority w:val="0"/>
  </w:style>
  <w:style w:type="character" w:customStyle="1" w:styleId="6">
    <w:name w:val="批注框文本 Char"/>
    <w:basedOn w:val="4"/>
    <w:link w:val="2"/>
    <w:uiPriority w:val="0"/>
    <w:rPr>
      <w:rFonts w:ascii="Arial" w:hAnsi="Arial" w:eastAsia="Arial" w:cs="Arial"/>
      <w:snapToGrid w:val="0"/>
      <w:color w:val="00000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551</Words>
  <Characters>3145</Characters>
  <Lines>26</Lines>
  <Paragraphs>7</Paragraphs>
  <TotalTime>11</TotalTime>
  <ScaleCrop>false</ScaleCrop>
  <LinksUpToDate>false</LinksUpToDate>
  <CharactersWithSpaces>3689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2023-09-21T09:00:00Z</dcterms:created>
  <dc:creator>xiaxia</dc:creator>
  <cp:lastModifiedBy>Administrator</cp:lastModifiedBy>
  <dcterms:modified xsi:type="dcterms:W3CDTF">2023-12-19T01:34:44Z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AEE39EA53A054D94A1ED57B3B0C39637_13</vt:lpwstr>
  </property>
</Properties>
</file>