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sz w:val="44"/>
          <w:szCs w:val="36"/>
        </w:rPr>
      </w:pPr>
      <w:r>
        <w:rPr>
          <w:rFonts w:hint="eastAsia" w:ascii="黑体" w:hAnsi="黑体" w:eastAsia="黑体"/>
          <w:sz w:val="44"/>
          <w:szCs w:val="36"/>
        </w:rPr>
        <w:t>进贤县人民法院</w:t>
      </w:r>
      <w:r>
        <w:rPr>
          <w:rFonts w:hint="eastAsia" w:ascii="黑体" w:eastAsia="黑体"/>
          <w:sz w:val="44"/>
          <w:szCs w:val="36"/>
        </w:rPr>
        <w:t>2021年度决算</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cs="Times New Roman"/>
          <w:b/>
          <w:sz w:val="32"/>
          <w:szCs w:val="32"/>
        </w:rPr>
      </w:pPr>
      <w:r>
        <w:rPr>
          <w:rFonts w:hint="eastAsia" w:ascii="黑体" w:hAnsi="黑体" w:eastAsia="黑体" w:cs="Times New Roman"/>
          <w:b/>
          <w:sz w:val="32"/>
          <w:szCs w:val="32"/>
        </w:rPr>
        <w:t>第一部分  进贤县人民法院</w:t>
      </w:r>
      <w:r>
        <w:rPr>
          <w:rFonts w:hint="eastAsia" w:ascii="黑体" w:hAnsi="黑体" w:eastAsia="黑体" w:cs="Times New Roman"/>
          <w:b/>
          <w:sz w:val="32"/>
          <w:szCs w:val="32"/>
          <w:lang w:eastAsia="zh-CN"/>
        </w:rPr>
        <w:t>单位</w:t>
      </w:r>
      <w:r>
        <w:rPr>
          <w:rFonts w:hint="eastAsia" w:ascii="黑体" w:hAnsi="黑体" w:eastAsia="黑体" w:cs="Times New Roman"/>
          <w:b/>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w:t>
      </w:r>
      <w:r>
        <w:rPr>
          <w:rFonts w:hint="eastAsia" w:ascii="仿宋" w:hAnsi="仿宋" w:eastAsia="仿宋"/>
          <w:sz w:val="32"/>
          <w:szCs w:val="30"/>
          <w:lang w:eastAsia="zh-CN"/>
        </w:rPr>
        <w:t>单位</w:t>
      </w:r>
      <w:r>
        <w:rPr>
          <w:rFonts w:hint="eastAsia" w:ascii="仿宋" w:hAnsi="仿宋" w:eastAsia="仿宋"/>
          <w:sz w:val="32"/>
          <w:szCs w:val="30"/>
        </w:rPr>
        <w:t>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w:t>
      </w:r>
      <w:r>
        <w:rPr>
          <w:rFonts w:hint="eastAsia" w:ascii="仿宋" w:hAnsi="仿宋" w:eastAsia="仿宋" w:cs="宋体"/>
          <w:kern w:val="0"/>
          <w:sz w:val="32"/>
          <w:szCs w:val="32"/>
          <w:lang w:eastAsia="zh-CN"/>
        </w:rPr>
        <w:t>单位</w:t>
      </w:r>
      <w:r>
        <w:rPr>
          <w:rFonts w:hint="eastAsia" w:ascii="仿宋" w:hAnsi="仿宋" w:eastAsia="仿宋" w:cs="宋体"/>
          <w:kern w:val="0"/>
          <w:sz w:val="32"/>
          <w:szCs w:val="32"/>
        </w:rPr>
        <w:t>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202</w:t>
      </w:r>
      <w:r>
        <w:rPr>
          <w:rFonts w:hint="eastAsia" w:ascii="黑体" w:hAnsi="黑体" w:eastAsia="黑体"/>
          <w:sz w:val="32"/>
          <w:szCs w:val="32"/>
          <w:lang w:val="en-US" w:eastAsia="zh-CN"/>
        </w:rPr>
        <w:t>1</w:t>
      </w:r>
      <w:r>
        <w:rPr>
          <w:rFonts w:hint="eastAsia" w:ascii="黑体" w:hAnsi="黑体" w:eastAsia="黑体"/>
          <w:sz w:val="32"/>
          <w:szCs w:val="32"/>
        </w:rPr>
        <w:t>年度</w:t>
      </w:r>
      <w:r>
        <w:rPr>
          <w:rFonts w:hint="eastAsia" w:ascii="黑体" w:hAnsi="黑体" w:eastAsia="黑体"/>
          <w:sz w:val="32"/>
          <w:szCs w:val="32"/>
          <w:lang w:eastAsia="zh-CN"/>
        </w:rPr>
        <w:t>单位</w:t>
      </w:r>
      <w:r>
        <w:rPr>
          <w:rFonts w:hint="eastAsia" w:ascii="黑体" w:hAnsi="黑体" w:eastAsia="黑体"/>
          <w:sz w:val="32"/>
          <w:szCs w:val="32"/>
        </w:rPr>
        <w:t>决算表</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numPr>
          <w:ilvl w:val="0"/>
          <w:numId w:val="1"/>
        </w:numPr>
        <w:spacing w:line="600" w:lineRule="exact"/>
        <w:ind w:left="1280" w:leftChars="0" w:firstLine="0" w:firstLineChars="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政府性基金预算财政拨款收入支出决算表</w:t>
      </w:r>
    </w:p>
    <w:p>
      <w:pPr>
        <w:widowControl/>
        <w:numPr>
          <w:ilvl w:val="0"/>
          <w:numId w:val="1"/>
        </w:numPr>
        <w:spacing w:line="600" w:lineRule="exact"/>
        <w:ind w:left="1280" w:leftChars="0" w:firstLine="0" w:firstLineChars="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国有资本经营预算财政拨款支出决算表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w:t>
      </w:r>
      <w:r>
        <w:rPr>
          <w:rFonts w:hint="eastAsia" w:ascii="仿宋_GB2312" w:hAnsi="仿宋_GB2312" w:eastAsia="仿宋_GB2312" w:cs="宋体"/>
          <w:kern w:val="0"/>
          <w:sz w:val="32"/>
          <w:szCs w:val="32"/>
          <w:lang w:val="en-US" w:eastAsia="zh-CN"/>
        </w:rPr>
        <w:t>十</w:t>
      </w:r>
      <w:r>
        <w:rPr>
          <w:rFonts w:hint="eastAsia" w:ascii="仿宋_GB2312" w:hAnsi="仿宋_GB2312" w:eastAsia="仿宋_GB2312" w:cs="宋体"/>
          <w:kern w:val="0"/>
          <w:sz w:val="32"/>
          <w:szCs w:val="32"/>
        </w:rPr>
        <w:t>、国有资产占用情况表</w:t>
      </w:r>
    </w:p>
    <w:p>
      <w:pPr>
        <w:widowControl/>
        <w:spacing w:line="600" w:lineRule="exact"/>
        <w:jc w:val="left"/>
        <w:rPr>
          <w:rFonts w:hint="eastAsia" w:ascii="黑体" w:hAnsi="黑体" w:eastAsia="黑体"/>
          <w:sz w:val="32"/>
          <w:szCs w:val="32"/>
        </w:rPr>
      </w:pPr>
      <w:r>
        <w:rPr>
          <w:rFonts w:hint="eastAsia" w:ascii="仿宋_GB2312" w:hAnsi="仿宋_GB2312" w:eastAsia="仿宋_GB2312" w:cs="宋体"/>
          <w:kern w:val="0"/>
          <w:sz w:val="32"/>
          <w:szCs w:val="32"/>
        </w:rPr>
        <w:t xml:space="preserve">    </w:t>
      </w:r>
      <w:r>
        <w:rPr>
          <w:rFonts w:hint="eastAsia" w:ascii="黑体" w:hAnsi="黑体" w:eastAsia="黑体"/>
          <w:sz w:val="32"/>
          <w:szCs w:val="32"/>
        </w:rPr>
        <w:t>第三部分  202</w:t>
      </w:r>
      <w:r>
        <w:rPr>
          <w:rFonts w:hint="eastAsia" w:ascii="黑体" w:hAnsi="黑体" w:eastAsia="黑体"/>
          <w:sz w:val="32"/>
          <w:szCs w:val="32"/>
          <w:lang w:val="en-US" w:eastAsia="zh-CN"/>
        </w:rPr>
        <w:t>1</w:t>
      </w:r>
      <w:r>
        <w:rPr>
          <w:rFonts w:hint="eastAsia" w:ascii="黑体" w:hAnsi="黑体" w:eastAsia="黑体"/>
          <w:sz w:val="32"/>
          <w:szCs w:val="32"/>
        </w:rPr>
        <w:t>年度</w:t>
      </w:r>
      <w:r>
        <w:rPr>
          <w:rFonts w:hint="eastAsia" w:ascii="黑体" w:hAnsi="黑体" w:eastAsia="黑体"/>
          <w:sz w:val="32"/>
          <w:szCs w:val="32"/>
          <w:lang w:eastAsia="zh-CN"/>
        </w:rPr>
        <w:t>单位</w:t>
      </w:r>
      <w:r>
        <w:rPr>
          <w:rFonts w:hint="eastAsia" w:ascii="黑体" w:hAnsi="黑体" w:eastAsia="黑体"/>
          <w:sz w:val="32"/>
          <w:szCs w:val="32"/>
        </w:rPr>
        <w:t>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一、收入决算情况说明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五、一般公共预算财政拨款“三公”经费支出决算</w:t>
      </w:r>
    </w:p>
    <w:p>
      <w:pPr>
        <w:widowControl/>
        <w:spacing w:line="600" w:lineRule="exact"/>
        <w:jc w:val="left"/>
        <w:rPr>
          <w:rFonts w:hint="eastAsia" w:ascii="仿宋_GB2312" w:hAnsi="仿宋_GB2312" w:eastAsia="仿宋_GB2312"/>
          <w:sz w:val="32"/>
          <w:szCs w:val="30"/>
        </w:rPr>
      </w:pPr>
      <w:r>
        <w:rPr>
          <w:rFonts w:hint="eastAsia" w:ascii="仿宋_GB2312" w:hAnsi="仿宋_GB2312" w:eastAsia="仿宋_GB2312"/>
          <w:sz w:val="32"/>
          <w:szCs w:val="30"/>
        </w:rPr>
        <w:t xml:space="preserve">    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    七、政府采购支出情况说明</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    八、国有资产占用情况说明</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    九、预算绩效情况说明</w:t>
      </w:r>
    </w:p>
    <w:p>
      <w:pPr>
        <w:widowControl/>
        <w:spacing w:line="600" w:lineRule="exact"/>
        <w:ind w:firstLine="640"/>
        <w:jc w:val="left"/>
        <w:rPr>
          <w:rFonts w:ascii="仿宋_GB2312" w:hAnsi="仿宋_GB2312" w:eastAsia="仿宋_GB2312"/>
          <w:sz w:val="32"/>
          <w:szCs w:val="30"/>
        </w:rPr>
      </w:pPr>
      <w:r>
        <w:rPr>
          <w:rFonts w:hint="eastAsia" w:ascii="黑体" w:hAnsi="黑体" w:eastAsia="黑体"/>
          <w:sz w:val="32"/>
          <w:szCs w:val="32"/>
        </w:rPr>
        <w:t>第四部分  名词解释</w:t>
      </w:r>
    </w:p>
    <w:p>
      <w:pPr>
        <w:widowControl/>
        <w:spacing w:line="600" w:lineRule="exact"/>
        <w:ind w:firstLine="640"/>
        <w:jc w:val="left"/>
        <w:rPr>
          <w:rFonts w:hint="eastAsia" w:ascii="仿宋" w:hAnsi="仿宋" w:eastAsia="仿宋" w:cs="宋体"/>
          <w:kern w:val="0"/>
          <w:sz w:val="32"/>
          <w:szCs w:val="32"/>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rPr>
          <w:rFonts w:hint="eastAsia" w:ascii="宋体" w:hAnsi="宋体"/>
          <w:b/>
          <w:sz w:val="36"/>
          <w:szCs w:val="36"/>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2"/>
        </w:rPr>
        <w:t>进贤县人民法院</w:t>
      </w:r>
      <w:r>
        <w:rPr>
          <w:rFonts w:hint="eastAsia" w:ascii="宋体" w:hAnsi="宋体"/>
          <w:b/>
          <w:sz w:val="32"/>
          <w:szCs w:val="32"/>
          <w:lang w:eastAsia="zh-CN"/>
        </w:rPr>
        <w:t>单位</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w:t>
      </w:r>
      <w:r>
        <w:rPr>
          <w:rFonts w:hint="eastAsia" w:ascii="黑体" w:hAnsi="黑体" w:eastAsia="黑体"/>
          <w:sz w:val="30"/>
          <w:szCs w:val="30"/>
          <w:lang w:eastAsia="zh-CN"/>
        </w:rPr>
        <w:t>单位</w:t>
      </w:r>
      <w:r>
        <w:rPr>
          <w:rFonts w:hint="eastAsia" w:ascii="黑体" w:hAnsi="黑体" w:eastAsia="黑体"/>
          <w:sz w:val="30"/>
          <w:szCs w:val="30"/>
        </w:rPr>
        <w:t>主要职能</w:t>
      </w:r>
    </w:p>
    <w:p>
      <w:pPr>
        <w:ind w:firstLine="630"/>
        <w:jc w:val="left"/>
        <w:rPr>
          <w:rFonts w:hint="eastAsia" w:ascii="仿宋" w:hAnsi="仿宋" w:eastAsia="仿宋"/>
          <w:sz w:val="30"/>
          <w:szCs w:val="30"/>
        </w:rPr>
      </w:pPr>
      <w:r>
        <w:rPr>
          <w:rFonts w:hint="eastAsia" w:ascii="仿宋" w:hAnsi="仿宋" w:eastAsia="仿宋"/>
          <w:sz w:val="30"/>
          <w:szCs w:val="30"/>
        </w:rPr>
        <w:t>进贤县法院的主要职责：</w:t>
      </w:r>
    </w:p>
    <w:p>
      <w:pPr>
        <w:ind w:firstLine="630"/>
        <w:jc w:val="left"/>
        <w:rPr>
          <w:rFonts w:hint="eastAsia" w:ascii="仿宋" w:hAnsi="仿宋" w:eastAsia="仿宋"/>
          <w:sz w:val="30"/>
          <w:szCs w:val="30"/>
        </w:rPr>
      </w:pPr>
      <w:r>
        <w:rPr>
          <w:rFonts w:hint="eastAsia" w:ascii="仿宋" w:hAnsi="仿宋" w:eastAsia="仿宋"/>
          <w:sz w:val="30"/>
          <w:szCs w:val="30"/>
        </w:rPr>
        <w:t>1、依法审判法律规定由基层人民法院管辖的危害公共安全、破坏社会主义经济秩序、侵犯公民人身权利、民主权利、侵犯财产、妨害管理秩序、贪污、贿赂、妨害婚姻、家庭等犯罪案件；依法审判管辖的未成年人犯罪等刑事案件。</w:t>
      </w:r>
    </w:p>
    <w:p>
      <w:pPr>
        <w:ind w:firstLine="630"/>
        <w:jc w:val="left"/>
        <w:rPr>
          <w:rFonts w:hint="eastAsia" w:ascii="仿宋" w:hAnsi="仿宋" w:eastAsia="仿宋"/>
          <w:sz w:val="30"/>
          <w:szCs w:val="30"/>
        </w:rPr>
      </w:pPr>
      <w:r>
        <w:rPr>
          <w:rFonts w:hint="eastAsia" w:ascii="仿宋" w:hAnsi="仿宋" w:eastAsia="仿宋"/>
          <w:sz w:val="30"/>
          <w:szCs w:val="30"/>
        </w:rPr>
        <w:t>2、依法审判管辖的婚姻家庭、继承、房地产、其它动产案件和损害赔偿、债务、债权、劳动争议案件；审判经济合同纠纷、期货、股票、金融、债券、票据以及企业破产等民事案件。</w:t>
      </w:r>
    </w:p>
    <w:p>
      <w:pPr>
        <w:ind w:firstLine="630"/>
        <w:jc w:val="left"/>
        <w:rPr>
          <w:rFonts w:hint="eastAsia" w:ascii="仿宋" w:hAnsi="仿宋" w:eastAsia="仿宋"/>
          <w:sz w:val="30"/>
          <w:szCs w:val="30"/>
        </w:rPr>
      </w:pPr>
      <w:r>
        <w:rPr>
          <w:rFonts w:hint="eastAsia" w:ascii="仿宋" w:hAnsi="仿宋" w:eastAsia="仿宋"/>
          <w:sz w:val="30"/>
          <w:szCs w:val="30"/>
        </w:rPr>
        <w:t>3、依法审判涉及土地、治安、工商、税务、卫生、文化、环保等行政案件。</w:t>
      </w:r>
    </w:p>
    <w:p>
      <w:pPr>
        <w:ind w:firstLine="630"/>
        <w:jc w:val="left"/>
        <w:rPr>
          <w:rFonts w:hint="eastAsia" w:ascii="仿宋" w:hAnsi="仿宋" w:eastAsia="仿宋"/>
          <w:sz w:val="30"/>
          <w:szCs w:val="30"/>
        </w:rPr>
      </w:pPr>
      <w:r>
        <w:rPr>
          <w:rFonts w:hint="eastAsia" w:ascii="仿宋" w:hAnsi="仿宋" w:eastAsia="仿宋"/>
          <w:sz w:val="30"/>
          <w:szCs w:val="30"/>
        </w:rPr>
        <w:t>4、受理由基层人民法院管辖的各类申诉和申请再审案件，对其中确有错误的已发生法律效力的判决、裁定，进行再审。</w:t>
      </w:r>
    </w:p>
    <w:p>
      <w:pPr>
        <w:ind w:firstLine="630"/>
        <w:jc w:val="left"/>
        <w:rPr>
          <w:rFonts w:hint="eastAsia" w:ascii="仿宋" w:hAnsi="仿宋" w:eastAsia="仿宋"/>
          <w:sz w:val="30"/>
          <w:szCs w:val="30"/>
        </w:rPr>
      </w:pPr>
      <w:r>
        <w:rPr>
          <w:rFonts w:hint="eastAsia" w:ascii="仿宋" w:hAnsi="仿宋" w:eastAsia="仿宋"/>
          <w:sz w:val="30"/>
          <w:szCs w:val="30"/>
        </w:rPr>
        <w:t>5、依法办理本院一审生效法律文书及其它依法具有强制执行效力文书的执行工作。</w:t>
      </w:r>
    </w:p>
    <w:p>
      <w:pPr>
        <w:ind w:firstLine="630"/>
        <w:jc w:val="left"/>
        <w:rPr>
          <w:rFonts w:hint="eastAsia" w:ascii="仿宋" w:hAnsi="仿宋" w:eastAsia="仿宋"/>
          <w:sz w:val="30"/>
          <w:szCs w:val="30"/>
        </w:rPr>
      </w:pPr>
      <w:r>
        <w:rPr>
          <w:rFonts w:hint="eastAsia" w:ascii="仿宋" w:hAnsi="仿宋" w:eastAsia="仿宋"/>
          <w:sz w:val="30"/>
          <w:szCs w:val="30"/>
        </w:rPr>
        <w:t>6、依法办理由本院受理的国家赔偿案件；审查、处理国家赔偿胜诉案件。</w:t>
      </w:r>
    </w:p>
    <w:p>
      <w:pPr>
        <w:ind w:firstLine="630"/>
        <w:jc w:val="left"/>
        <w:rPr>
          <w:rFonts w:hint="eastAsia" w:ascii="仿宋" w:hAnsi="仿宋" w:eastAsia="仿宋"/>
          <w:sz w:val="30"/>
          <w:szCs w:val="30"/>
        </w:rPr>
      </w:pPr>
      <w:r>
        <w:rPr>
          <w:rFonts w:hint="eastAsia" w:ascii="仿宋" w:hAnsi="仿宋" w:eastAsia="仿宋"/>
          <w:sz w:val="30"/>
          <w:szCs w:val="30"/>
        </w:rPr>
        <w:t>7、负责人民法院思想政治工作、纪检监察工作和队伍管理、培训、教育工作；按照权限管理法官、执行员、书记员和司法警察。</w:t>
      </w:r>
    </w:p>
    <w:p>
      <w:pPr>
        <w:ind w:firstLine="630"/>
        <w:jc w:val="left"/>
        <w:rPr>
          <w:rFonts w:hint="eastAsia" w:ascii="仿宋" w:hAnsi="仿宋" w:eastAsia="仿宋"/>
          <w:sz w:val="30"/>
          <w:szCs w:val="30"/>
        </w:rPr>
      </w:pPr>
      <w:r>
        <w:rPr>
          <w:rFonts w:hint="eastAsia" w:ascii="仿宋" w:hAnsi="仿宋" w:eastAsia="仿宋"/>
          <w:sz w:val="30"/>
          <w:szCs w:val="30"/>
        </w:rPr>
        <w:t>8、在审判工作中宣传法制，教育公民忠于社会主义祖国、自觉遵守宪法、法律和社会公德；积极参与社会治安综合治理，落实依法治理工作。</w:t>
      </w:r>
    </w:p>
    <w:p>
      <w:pPr>
        <w:ind w:firstLine="630"/>
        <w:jc w:val="left"/>
        <w:rPr>
          <w:rFonts w:hint="eastAsia" w:ascii="仿宋" w:hAnsi="仿宋" w:eastAsia="仿宋"/>
          <w:sz w:val="30"/>
          <w:szCs w:val="30"/>
        </w:rPr>
      </w:pPr>
      <w:r>
        <w:rPr>
          <w:rFonts w:hint="eastAsia" w:ascii="仿宋" w:hAnsi="仿宋" w:eastAsia="仿宋"/>
          <w:sz w:val="30"/>
          <w:szCs w:val="30"/>
        </w:rPr>
        <w:t>9、承办其他应由基层人民法院负责的工作。</w:t>
      </w:r>
    </w:p>
    <w:p>
      <w:pPr>
        <w:ind w:firstLine="630"/>
        <w:jc w:val="left"/>
        <w:rPr>
          <w:rFonts w:hint="eastAsia"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单位</w:t>
      </w:r>
      <w:r>
        <w:rPr>
          <w:rFonts w:hint="eastAsia" w:ascii="黑体" w:hAnsi="黑体" w:eastAsia="黑体"/>
          <w:sz w:val="30"/>
          <w:szCs w:val="30"/>
        </w:rPr>
        <w:t>基本情况</w:t>
      </w:r>
    </w:p>
    <w:p>
      <w:pPr>
        <w:spacing w:line="560" w:lineRule="exact"/>
        <w:ind w:firstLine="600" w:firstLineChars="200"/>
        <w:jc w:val="left"/>
        <w:rPr>
          <w:rFonts w:hint="eastAsia" w:ascii="仿宋" w:hAnsi="仿宋" w:eastAsia="仿宋_GB2312"/>
          <w:sz w:val="30"/>
          <w:szCs w:val="30"/>
          <w:lang w:eastAsia="zh-CN"/>
        </w:rPr>
      </w:pPr>
      <w:r>
        <w:rPr>
          <w:rFonts w:hint="eastAsia" w:ascii="仿宋" w:hAnsi="仿宋" w:eastAsia="仿宋"/>
          <w:sz w:val="30"/>
          <w:szCs w:val="30"/>
          <w:lang w:eastAsia="zh-CN"/>
        </w:rPr>
        <w:t>本单位设立</w:t>
      </w:r>
      <w:r>
        <w:rPr>
          <w:rFonts w:hint="eastAsia" w:ascii="仿宋" w:hAnsi="仿宋" w:eastAsia="仿宋"/>
          <w:sz w:val="30"/>
          <w:szCs w:val="30"/>
          <w:lang w:val="en-US" w:eastAsia="zh-CN"/>
        </w:rPr>
        <w:t>13个内设机构，分别是</w:t>
      </w:r>
      <w:r>
        <w:rPr>
          <w:rFonts w:hint="eastAsia" w:ascii="仿宋" w:hAnsi="仿宋" w:eastAsia="仿宋"/>
          <w:sz w:val="30"/>
          <w:szCs w:val="30"/>
        </w:rPr>
        <w:t>：</w:t>
      </w:r>
      <w:r>
        <w:rPr>
          <w:rFonts w:hint="eastAsia" w:ascii="仿宋_GB2312" w:eastAsia="仿宋_GB2312"/>
          <w:sz w:val="32"/>
          <w:szCs w:val="32"/>
        </w:rPr>
        <w:t>立案庭（诉讼服务中心）</w:t>
      </w:r>
      <w:r>
        <w:rPr>
          <w:rFonts w:hint="eastAsia" w:ascii="仿宋_GB2312" w:eastAsia="仿宋_GB2312"/>
          <w:sz w:val="32"/>
          <w:szCs w:val="32"/>
          <w:lang w:eastAsia="zh-CN"/>
        </w:rPr>
        <w:t>、</w:t>
      </w:r>
      <w:r>
        <w:rPr>
          <w:rFonts w:hint="eastAsia" w:ascii="仿宋_GB2312" w:eastAsia="仿宋_GB2312"/>
          <w:sz w:val="32"/>
          <w:szCs w:val="32"/>
        </w:rPr>
        <w:t>刑事审判庭</w:t>
      </w:r>
      <w:r>
        <w:rPr>
          <w:rFonts w:hint="eastAsia" w:ascii="仿宋_GB2312" w:eastAsia="仿宋_GB2312"/>
          <w:sz w:val="32"/>
          <w:szCs w:val="32"/>
          <w:lang w:eastAsia="zh-CN"/>
        </w:rPr>
        <w:t>、</w:t>
      </w:r>
      <w:r>
        <w:rPr>
          <w:rFonts w:hint="eastAsia" w:ascii="仿宋_GB2312" w:eastAsia="仿宋_GB2312"/>
          <w:sz w:val="32"/>
          <w:szCs w:val="32"/>
        </w:rPr>
        <w:t>民事审判庭</w:t>
      </w:r>
      <w:r>
        <w:rPr>
          <w:rFonts w:hint="eastAsia" w:ascii="仿宋_GB2312" w:eastAsia="仿宋_GB2312"/>
          <w:sz w:val="32"/>
          <w:szCs w:val="32"/>
          <w:lang w:eastAsia="zh-CN"/>
        </w:rPr>
        <w:t>、</w:t>
      </w:r>
      <w:r>
        <w:rPr>
          <w:rFonts w:hint="eastAsia" w:ascii="仿宋_GB2312" w:eastAsia="仿宋_GB2312"/>
          <w:sz w:val="32"/>
          <w:szCs w:val="32"/>
        </w:rPr>
        <w:t>行政审判庭（环境资源审判庭）</w:t>
      </w:r>
      <w:r>
        <w:rPr>
          <w:rFonts w:hint="eastAsia" w:ascii="仿宋_GB2312" w:eastAsia="仿宋_GB2312"/>
          <w:sz w:val="32"/>
          <w:szCs w:val="32"/>
          <w:lang w:eastAsia="zh-CN"/>
        </w:rPr>
        <w:t>、</w:t>
      </w:r>
      <w:r>
        <w:rPr>
          <w:rFonts w:hint="eastAsia" w:ascii="仿宋_GB2312" w:eastAsia="仿宋_GB2312"/>
          <w:sz w:val="32"/>
          <w:szCs w:val="32"/>
        </w:rPr>
        <w:t>执行局</w:t>
      </w:r>
      <w:r>
        <w:rPr>
          <w:rFonts w:hint="eastAsia" w:ascii="仿宋_GB2312" w:eastAsia="仿宋_GB2312"/>
          <w:sz w:val="32"/>
          <w:szCs w:val="32"/>
          <w:lang w:eastAsia="zh-CN"/>
        </w:rPr>
        <w:t>、</w:t>
      </w:r>
      <w:r>
        <w:rPr>
          <w:rFonts w:hint="eastAsia" w:ascii="仿宋_GB2312" w:eastAsia="仿宋_GB2312"/>
          <w:sz w:val="32"/>
          <w:szCs w:val="32"/>
        </w:rPr>
        <w:t>审判管理办公室（研究室）</w:t>
      </w:r>
      <w:r>
        <w:rPr>
          <w:rFonts w:hint="eastAsia" w:ascii="仿宋_GB2312" w:eastAsia="仿宋_GB2312"/>
          <w:sz w:val="32"/>
          <w:szCs w:val="32"/>
          <w:lang w:eastAsia="zh-CN"/>
        </w:rPr>
        <w:t>、</w:t>
      </w:r>
      <w:r>
        <w:rPr>
          <w:rFonts w:hint="eastAsia" w:ascii="仿宋_GB2312" w:eastAsia="仿宋_GB2312"/>
          <w:sz w:val="32"/>
          <w:szCs w:val="32"/>
        </w:rPr>
        <w:t>政治部</w:t>
      </w:r>
      <w:r>
        <w:rPr>
          <w:rFonts w:hint="eastAsia" w:ascii="仿宋_GB2312" w:eastAsia="仿宋_GB2312"/>
          <w:sz w:val="32"/>
          <w:szCs w:val="32"/>
          <w:lang w:eastAsia="zh-CN"/>
        </w:rPr>
        <w:t>、</w:t>
      </w:r>
      <w:r>
        <w:rPr>
          <w:rFonts w:hint="eastAsia" w:ascii="仿宋_GB2312" w:eastAsia="仿宋_GB2312"/>
          <w:sz w:val="32"/>
          <w:szCs w:val="32"/>
        </w:rPr>
        <w:t>综合办公室</w:t>
      </w:r>
      <w:r>
        <w:rPr>
          <w:rFonts w:hint="eastAsia" w:ascii="仿宋_GB2312" w:eastAsia="仿宋_GB2312"/>
          <w:sz w:val="32"/>
          <w:szCs w:val="32"/>
          <w:lang w:eastAsia="zh-CN"/>
        </w:rPr>
        <w:t>、</w:t>
      </w:r>
      <w:r>
        <w:rPr>
          <w:rFonts w:hint="eastAsia" w:ascii="仿宋_GB2312" w:hAnsi="楷体" w:eastAsia="仿宋_GB2312" w:cs="楷体"/>
          <w:bCs/>
          <w:sz w:val="32"/>
          <w:szCs w:val="32"/>
        </w:rPr>
        <w:t>梅庄人民法庭、李渡人民法庭、温圳人民法庭、池溪人民法庭、文港人民法庭</w:t>
      </w:r>
      <w:r>
        <w:rPr>
          <w:rFonts w:hint="eastAsia" w:ascii="仿宋_GB2312" w:hAnsi="楷体" w:eastAsia="仿宋_GB2312" w:cs="楷体"/>
          <w:bCs/>
          <w:sz w:val="32"/>
          <w:szCs w:val="32"/>
          <w:lang w:eastAsia="zh-CN"/>
        </w:rPr>
        <w:t>。</w:t>
      </w:r>
    </w:p>
    <w:p>
      <w:pPr>
        <w:ind w:firstLine="630"/>
        <w:jc w:val="left"/>
        <w:rPr>
          <w:rFonts w:hint="eastAsia" w:ascii="仿宋_GB2312" w:hAnsi="仿宋_GB2312" w:eastAsia="仿宋_GB2312"/>
          <w:color w:val="auto"/>
          <w:sz w:val="30"/>
          <w:szCs w:val="30"/>
          <w:lang w:eastAsia="zh-CN"/>
        </w:rPr>
      </w:pPr>
      <w:r>
        <w:rPr>
          <w:rFonts w:hint="eastAsia" w:ascii="仿宋_GB2312" w:hAnsi="仿宋_GB2312" w:eastAsia="仿宋_GB2312"/>
          <w:sz w:val="30"/>
          <w:szCs w:val="30"/>
        </w:rPr>
        <w:t>本</w:t>
      </w:r>
      <w:r>
        <w:rPr>
          <w:rFonts w:hint="eastAsia" w:ascii="仿宋_GB2312" w:hAnsi="仿宋_GB2312" w:eastAsia="仿宋_GB2312"/>
          <w:sz w:val="30"/>
          <w:szCs w:val="30"/>
          <w:lang w:eastAsia="zh-CN"/>
        </w:rPr>
        <w:t>单位</w:t>
      </w:r>
      <w:r>
        <w:rPr>
          <w:rFonts w:hint="eastAsia" w:ascii="仿宋_GB2312" w:hAnsi="仿宋_GB2312" w:eastAsia="仿宋_GB2312"/>
          <w:sz w:val="30"/>
          <w:szCs w:val="30"/>
        </w:rPr>
        <w:t>202</w:t>
      </w:r>
      <w:r>
        <w:rPr>
          <w:rFonts w:hint="eastAsia" w:ascii="仿宋_GB2312" w:hAnsi="仿宋_GB2312" w:eastAsia="仿宋_GB2312"/>
          <w:sz w:val="30"/>
          <w:szCs w:val="30"/>
          <w:lang w:val="en-US" w:eastAsia="zh-CN"/>
        </w:rPr>
        <w:t>1</w:t>
      </w:r>
      <w:r>
        <w:rPr>
          <w:rFonts w:hint="eastAsia" w:ascii="仿宋_GB2312" w:hAnsi="仿宋_GB2312" w:eastAsia="仿宋_GB2312"/>
          <w:sz w:val="30"/>
          <w:szCs w:val="30"/>
        </w:rPr>
        <w:t>年年末实有人数</w:t>
      </w:r>
      <w:r>
        <w:rPr>
          <w:rFonts w:hint="eastAsia" w:ascii="仿宋_GB2312" w:hAnsi="仿宋_GB2312" w:eastAsia="仿宋_GB2312"/>
          <w:sz w:val="30"/>
          <w:szCs w:val="30"/>
          <w:lang w:val="en-US" w:eastAsia="zh-CN"/>
        </w:rPr>
        <w:t>168</w:t>
      </w:r>
      <w:r>
        <w:rPr>
          <w:rFonts w:hint="eastAsia" w:ascii="仿宋_GB2312" w:hAnsi="仿宋_GB2312" w:eastAsia="仿宋_GB2312"/>
          <w:sz w:val="30"/>
          <w:szCs w:val="30"/>
        </w:rPr>
        <w:t>人，其中在职人员</w:t>
      </w:r>
      <w:r>
        <w:rPr>
          <w:rFonts w:hint="eastAsia" w:ascii="仿宋_GB2312" w:hAnsi="仿宋_GB2312" w:eastAsia="仿宋_GB2312"/>
          <w:sz w:val="30"/>
          <w:szCs w:val="30"/>
          <w:lang w:val="en-US" w:eastAsia="zh-CN"/>
        </w:rPr>
        <w:t>101</w:t>
      </w:r>
      <w:r>
        <w:rPr>
          <w:rFonts w:hint="eastAsia" w:ascii="仿宋_GB2312" w:hAnsi="仿宋_GB2312" w:eastAsia="仿宋_GB2312"/>
          <w:sz w:val="30"/>
          <w:szCs w:val="30"/>
        </w:rPr>
        <w:t>人，离休人员</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人，退休人员</w:t>
      </w:r>
      <w:r>
        <w:rPr>
          <w:rFonts w:hint="eastAsia" w:ascii="仿宋_GB2312" w:hAnsi="仿宋_GB2312" w:eastAsia="仿宋_GB2312"/>
          <w:sz w:val="30"/>
          <w:szCs w:val="30"/>
          <w:lang w:val="en-US" w:eastAsia="zh-CN"/>
        </w:rPr>
        <w:t>0</w:t>
      </w:r>
      <w:r>
        <w:rPr>
          <w:rFonts w:hint="eastAsia" w:ascii="仿宋_GB2312" w:hAnsi="仿宋_GB2312" w:eastAsia="仿宋_GB2312"/>
          <w:color w:val="auto"/>
          <w:sz w:val="30"/>
          <w:szCs w:val="30"/>
        </w:rPr>
        <w:t>人</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lang w:val="en-US" w:eastAsia="zh-CN"/>
        </w:rPr>
        <w:t>不含</w:t>
      </w:r>
      <w:r>
        <w:rPr>
          <w:rFonts w:hint="eastAsia" w:ascii="仿宋_GB2312" w:hAnsi="仿宋_GB2312" w:eastAsia="仿宋_GB2312"/>
          <w:color w:val="auto"/>
          <w:sz w:val="30"/>
          <w:szCs w:val="30"/>
        </w:rPr>
        <w:t>由养老保险基金发放养老金的离退休人员</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rPr>
        <w:t>；年末其他人员</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人；年末学生人数</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人</w:t>
      </w:r>
      <w:r>
        <w:rPr>
          <w:rFonts w:hint="eastAsia" w:ascii="仿宋_GB2312" w:hAnsi="仿宋_GB2312" w:eastAsia="仿宋_GB2312"/>
          <w:color w:val="auto"/>
          <w:sz w:val="30"/>
          <w:szCs w:val="30"/>
          <w:lang w:val="en-US" w:eastAsia="zh-CN"/>
        </w:rPr>
        <w:t>；</w:t>
      </w:r>
      <w:r>
        <w:rPr>
          <w:rFonts w:hint="eastAsia" w:ascii="仿宋_GB2312" w:hAnsi="仿宋_GB2312" w:eastAsia="仿宋_GB2312"/>
          <w:color w:val="auto"/>
          <w:sz w:val="30"/>
          <w:szCs w:val="30"/>
        </w:rPr>
        <w:t>由养老保险基金发放养老金的离退休人员</w:t>
      </w:r>
      <w:r>
        <w:rPr>
          <w:rFonts w:hint="eastAsia" w:ascii="仿宋_GB2312" w:hAnsi="仿宋_GB2312" w:eastAsia="仿宋_GB2312"/>
          <w:color w:val="auto"/>
          <w:sz w:val="30"/>
          <w:szCs w:val="30"/>
          <w:lang w:val="en-US" w:eastAsia="zh-CN"/>
        </w:rPr>
        <w:t>67</w:t>
      </w:r>
      <w:r>
        <w:rPr>
          <w:rFonts w:hint="eastAsia" w:ascii="仿宋_GB2312" w:hAnsi="仿宋_GB2312" w:eastAsia="仿宋_GB2312"/>
          <w:color w:val="auto"/>
          <w:sz w:val="30"/>
          <w:szCs w:val="30"/>
        </w:rPr>
        <w:t>人</w:t>
      </w:r>
      <w:r>
        <w:rPr>
          <w:rFonts w:hint="eastAsia" w:ascii="仿宋_GB2312" w:hAnsi="仿宋_GB2312" w:eastAsia="仿宋_GB2312"/>
          <w:color w:val="auto"/>
          <w:sz w:val="30"/>
          <w:szCs w:val="30"/>
          <w:lang w:eastAsia="zh-CN"/>
        </w:rPr>
        <w:t>。</w:t>
      </w:r>
    </w:p>
    <w:p>
      <w:pPr>
        <w:pStyle w:val="2"/>
        <w:rPr>
          <w:rFonts w:hint="eastAsia"/>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jc w:val="both"/>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第二部分  202</w:t>
      </w:r>
      <w:r>
        <w:rPr>
          <w:rFonts w:hint="eastAsia" w:ascii="方正小标宋简体" w:hAnsi="方正小标宋简体" w:eastAsia="方正小标宋简体" w:cs="方正小标宋简体"/>
          <w:b w:val="0"/>
          <w:bCs/>
          <w:sz w:val="44"/>
          <w:szCs w:val="44"/>
          <w:lang w:val="en-US" w:eastAsia="zh-CN"/>
        </w:rPr>
        <w:t>1</w:t>
      </w:r>
      <w:r>
        <w:rPr>
          <w:rFonts w:hint="eastAsia" w:ascii="方正小标宋简体" w:hAnsi="方正小标宋简体" w:eastAsia="方正小标宋简体" w:cs="方正小标宋简体"/>
          <w:b w:val="0"/>
          <w:bCs/>
          <w:sz w:val="44"/>
          <w:szCs w:val="44"/>
        </w:rPr>
        <w:t>年度</w:t>
      </w:r>
      <w:r>
        <w:rPr>
          <w:rFonts w:hint="eastAsia" w:ascii="方正小标宋简体" w:hAnsi="方正小标宋简体" w:eastAsia="方正小标宋简体" w:cs="方正小标宋简体"/>
          <w:b w:val="0"/>
          <w:bCs/>
          <w:sz w:val="44"/>
          <w:szCs w:val="44"/>
          <w:lang w:eastAsia="zh-CN"/>
        </w:rPr>
        <w:t>单位</w:t>
      </w:r>
      <w:r>
        <w:rPr>
          <w:rFonts w:hint="eastAsia" w:ascii="方正小标宋简体" w:hAnsi="方正小标宋简体" w:eastAsia="方正小标宋简体" w:cs="方正小标宋简体"/>
          <w:b w:val="0"/>
          <w:bCs/>
          <w:sz w:val="44"/>
          <w:szCs w:val="44"/>
        </w:rPr>
        <w:t>决算表</w:t>
      </w:r>
    </w:p>
    <w:p>
      <w:pPr>
        <w:autoSpaceDE w:val="0"/>
        <w:autoSpaceDN w:val="0"/>
        <w:adjustRightInd w:val="0"/>
        <w:spacing w:line="360" w:lineRule="auto"/>
        <w:jc w:val="left"/>
        <w:rPr>
          <w:rFonts w:hint="eastAsia"/>
          <w:szCs w:val="30"/>
        </w:rPr>
      </w:pPr>
    </w:p>
    <w:p>
      <w:pPr>
        <w:widowControl/>
        <w:spacing w:line="580" w:lineRule="exact"/>
        <w:ind w:firstLine="600"/>
        <w:jc w:val="left"/>
        <w:rPr>
          <w:rFonts w:hint="eastAsia" w:eastAsia="仿宋"/>
          <w:szCs w:val="30"/>
          <w:lang w:eastAsia="zh-CN"/>
        </w:rPr>
      </w:pPr>
      <w:r>
        <w:rPr>
          <w:rFonts w:hint="eastAsia" w:ascii="仿宋" w:hAnsi="仿宋" w:eastAsia="仿宋"/>
          <w:kern w:val="0"/>
          <w:sz w:val="30"/>
          <w:szCs w:val="30"/>
        </w:rPr>
        <w:t>见附件Excell表：进贤县人民法院2021年</w:t>
      </w:r>
      <w:bookmarkStart w:id="0" w:name="_GoBack"/>
      <w:bookmarkEnd w:id="0"/>
      <w:r>
        <w:rPr>
          <w:rFonts w:hint="eastAsia" w:ascii="仿宋" w:hAnsi="仿宋" w:eastAsia="仿宋"/>
          <w:kern w:val="0"/>
          <w:sz w:val="30"/>
          <w:szCs w:val="30"/>
        </w:rPr>
        <w:t>部门决算</w:t>
      </w:r>
      <w:r>
        <w:rPr>
          <w:rFonts w:hint="eastAsia" w:ascii="仿宋" w:hAnsi="仿宋" w:eastAsia="仿宋"/>
          <w:kern w:val="0"/>
          <w:sz w:val="30"/>
          <w:szCs w:val="30"/>
          <w:lang w:eastAsia="zh-CN"/>
        </w:rPr>
        <w:t>公开表</w:t>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pStyle w:val="2"/>
        <w:rPr>
          <w:rFonts w:hint="eastAsia"/>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第</w:t>
      </w:r>
      <w:r>
        <w:rPr>
          <w:rFonts w:hint="eastAsia" w:ascii="方正小标宋简体" w:hAnsi="方正小标宋简体" w:eastAsia="方正小标宋简体" w:cs="方正小标宋简体"/>
          <w:b w:val="0"/>
          <w:bCs/>
          <w:sz w:val="44"/>
          <w:szCs w:val="44"/>
          <w:lang w:eastAsia="zh-CN"/>
        </w:rPr>
        <w:t>三</w:t>
      </w:r>
      <w:r>
        <w:rPr>
          <w:rFonts w:hint="eastAsia" w:ascii="方正小标宋简体" w:hAnsi="方正小标宋简体" w:eastAsia="方正小标宋简体" w:cs="方正小标宋简体"/>
          <w:b w:val="0"/>
          <w:bCs/>
          <w:sz w:val="44"/>
          <w:szCs w:val="44"/>
        </w:rPr>
        <w:t>部分  2021年度</w:t>
      </w:r>
      <w:r>
        <w:rPr>
          <w:rFonts w:hint="eastAsia" w:ascii="方正小标宋简体" w:hAnsi="方正小标宋简体" w:eastAsia="方正小标宋简体" w:cs="方正小标宋简体"/>
          <w:b w:val="0"/>
          <w:bCs/>
          <w:sz w:val="44"/>
          <w:szCs w:val="44"/>
          <w:lang w:eastAsia="zh-CN"/>
        </w:rPr>
        <w:t>单位</w:t>
      </w:r>
      <w:r>
        <w:rPr>
          <w:rFonts w:hint="eastAsia" w:ascii="方正小标宋简体" w:hAnsi="方正小标宋简体" w:eastAsia="方正小标宋简体" w:cs="方正小标宋简体"/>
          <w:b w:val="0"/>
          <w:bCs/>
          <w:sz w:val="44"/>
          <w:szCs w:val="44"/>
        </w:rPr>
        <w:t>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2021年度收入总计4238.02万元，其中年初结转和结余0万元，较2020年增加减少2328.70万元，增长下降100%；本年收入合计4238.02万元，较2020年增加2389.85万元，增长129.31%，主要原因是：2021年会计核算支出调整，财政拨款以支定收，年初年末财政资金不存在结余。</w:t>
      </w:r>
    </w:p>
    <w:p>
      <w:pPr>
        <w:ind w:firstLine="630"/>
        <w:jc w:val="left"/>
        <w:rPr>
          <w:rFonts w:hint="eastAsia" w:ascii="仿宋" w:hAnsi="仿宋" w:eastAsia="仿宋"/>
          <w:sz w:val="30"/>
          <w:szCs w:val="30"/>
        </w:rPr>
      </w:pPr>
      <w:r>
        <w:rPr>
          <w:rFonts w:hint="eastAsia" w:ascii="仿宋" w:hAnsi="仿宋" w:eastAsia="仿宋"/>
          <w:sz w:val="30"/>
          <w:szCs w:val="30"/>
        </w:rPr>
        <w:t xml:space="preserve">本年收入的具体构成为：财政拨款收入4147.46万元，占97.86%；事业收入0万元，占0 %；经营收入0万元，占0 %；其他收入90.56万元，占2.14%。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2021年度支出总计4238.02万元，其中本年支出合计4238.02万元，较2020年增加495.70万元，增长13.25 %，主要原因是：2021年我院人员增加，支出随之增加，法庭建设稳步推进，支付工程款；年末结转和结余0万元，较2020年减少434.55 万元，下降100%，主要原因是：2021年会计核算支出调整，财政拨款以支定收，年末财政资金收回后不存在结余。</w:t>
      </w:r>
    </w:p>
    <w:p>
      <w:pPr>
        <w:ind w:firstLine="630"/>
        <w:jc w:val="left"/>
        <w:rPr>
          <w:rFonts w:hint="eastAsia" w:ascii="仿宋" w:hAnsi="仿宋" w:eastAsia="仿宋"/>
          <w:sz w:val="30"/>
          <w:szCs w:val="30"/>
        </w:rPr>
      </w:pPr>
      <w:r>
        <w:rPr>
          <w:rFonts w:hint="eastAsia" w:ascii="仿宋" w:hAnsi="仿宋" w:eastAsia="仿宋"/>
          <w:sz w:val="30"/>
          <w:szCs w:val="30"/>
        </w:rPr>
        <w:t>本年支出的具体构成为：基本支出2628.94万元，占62.03%；项目支出1609.08万元，占37.97 %；经营支出0万元，占0 %；其他支出（对附属单位补助支出、上缴上级支出）0万元，占0 %。</w:t>
      </w:r>
    </w:p>
    <w:p>
      <w:pPr>
        <w:numPr>
          <w:ilvl w:val="0"/>
          <w:numId w:val="2"/>
        </w:numPr>
        <w:ind w:firstLine="630"/>
        <w:jc w:val="left"/>
        <w:rPr>
          <w:rFonts w:hint="eastAsia" w:ascii="仿宋" w:hAnsi="仿宋" w:eastAsia="仿宋"/>
          <w:sz w:val="30"/>
          <w:szCs w:val="30"/>
        </w:rPr>
      </w:pPr>
      <w:r>
        <w:rPr>
          <w:rFonts w:hint="eastAsia" w:ascii="黑体" w:hAnsi="黑体" w:eastAsia="黑体"/>
          <w:sz w:val="30"/>
          <w:szCs w:val="30"/>
        </w:rPr>
        <w:t>财政拨款支出决算情况说明</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本</w:t>
      </w:r>
      <w:r>
        <w:rPr>
          <w:rFonts w:hint="eastAsia" w:ascii="仿宋" w:hAnsi="仿宋" w:eastAsia="仿宋" w:cs="Times New Roman"/>
          <w:sz w:val="30"/>
          <w:szCs w:val="30"/>
          <w:lang w:eastAsia="zh-CN"/>
        </w:rPr>
        <w:t>单位</w:t>
      </w:r>
      <w:r>
        <w:rPr>
          <w:rFonts w:hint="eastAsia" w:ascii="仿宋" w:hAnsi="仿宋" w:eastAsia="仿宋" w:cs="Times New Roman"/>
          <w:sz w:val="30"/>
          <w:szCs w:val="30"/>
        </w:rPr>
        <w:t>2021年度财政拨款本年支出年初预算数为3300.59万元，决算数为4147.46万元，完成年初预算的125.66%。其中：</w:t>
      </w:r>
    </w:p>
    <w:p>
      <w:pPr>
        <w:ind w:firstLine="630"/>
        <w:jc w:val="left"/>
        <w:rPr>
          <w:rFonts w:hint="eastAsia" w:ascii="仿宋" w:hAnsi="仿宋" w:eastAsia="仿宋"/>
          <w:sz w:val="30"/>
          <w:szCs w:val="30"/>
        </w:rPr>
      </w:pPr>
      <w:r>
        <w:rPr>
          <w:rFonts w:hint="eastAsia" w:ascii="仿宋" w:hAnsi="仿宋" w:eastAsia="仿宋"/>
          <w:sz w:val="30"/>
          <w:szCs w:val="30"/>
        </w:rPr>
        <w:t>（一）公共安全支出年初预算数为3170.98万元，决算数为4082.53万元，完成年初预算的128.75 %，主要原因是：年中追加新进人员经费，法庭建设经费。</w:t>
      </w:r>
    </w:p>
    <w:p>
      <w:pPr>
        <w:ind w:firstLine="630"/>
        <w:jc w:val="left"/>
        <w:rPr>
          <w:rFonts w:hint="eastAsia" w:ascii="仿宋" w:hAnsi="仿宋" w:eastAsia="仿宋"/>
          <w:sz w:val="30"/>
          <w:szCs w:val="30"/>
        </w:rPr>
      </w:pPr>
      <w:r>
        <w:rPr>
          <w:rFonts w:hint="eastAsia" w:ascii="仿宋" w:hAnsi="仿宋" w:eastAsia="仿宋"/>
          <w:sz w:val="30"/>
          <w:szCs w:val="30"/>
        </w:rPr>
        <w:t>（二）社会保障和就业支出年初预算数为100.99万元，决算数为50.31万元，完成年初预算的49.82%，主要原因是：实际支出时使用“行政运行”科目。</w:t>
      </w:r>
    </w:p>
    <w:p>
      <w:pPr>
        <w:ind w:firstLine="630"/>
        <w:jc w:val="left"/>
        <w:rPr>
          <w:rFonts w:hint="eastAsia" w:ascii="仿宋" w:hAnsi="仿宋" w:eastAsia="仿宋"/>
          <w:sz w:val="30"/>
          <w:szCs w:val="30"/>
        </w:rPr>
      </w:pPr>
      <w:r>
        <w:rPr>
          <w:rFonts w:hint="eastAsia" w:ascii="仿宋" w:hAnsi="仿宋" w:eastAsia="仿宋"/>
          <w:sz w:val="30"/>
          <w:szCs w:val="30"/>
        </w:rPr>
        <w:t>（三）住房保障支出年初预算数为28.62万元，决算数为14.62万元，完成年初预算的51.08%，主要原因是：实际支出时使用“行政运行”科目。</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2021年度一般公共预算财政拨款基本支出2538.37万元，其中：</w:t>
      </w:r>
    </w:p>
    <w:p>
      <w:pPr>
        <w:ind w:firstLine="585"/>
        <w:jc w:val="left"/>
        <w:rPr>
          <w:rFonts w:hint="eastAsia" w:ascii="仿宋" w:hAnsi="仿宋" w:eastAsia="仿宋"/>
          <w:sz w:val="30"/>
          <w:szCs w:val="30"/>
        </w:rPr>
      </w:pPr>
      <w:r>
        <w:rPr>
          <w:rFonts w:hint="eastAsia" w:ascii="仿宋" w:hAnsi="仿宋" w:eastAsia="仿宋"/>
          <w:sz w:val="30"/>
          <w:szCs w:val="30"/>
        </w:rPr>
        <w:t>（一）工资福利支出2061.30万元，较2020年增加142.47万元，增长7.42%，主要原因是：2021年我院人员增加，支出随之增加。</w:t>
      </w:r>
    </w:p>
    <w:p>
      <w:pPr>
        <w:ind w:firstLine="585"/>
        <w:jc w:val="left"/>
        <w:rPr>
          <w:rFonts w:hint="eastAsia" w:ascii="仿宋" w:hAnsi="仿宋" w:eastAsia="仿宋"/>
          <w:sz w:val="30"/>
          <w:szCs w:val="30"/>
        </w:rPr>
      </w:pPr>
      <w:r>
        <w:rPr>
          <w:rFonts w:hint="eastAsia" w:ascii="仿宋" w:hAnsi="仿宋" w:eastAsia="仿宋"/>
          <w:sz w:val="30"/>
          <w:szCs w:val="30"/>
        </w:rPr>
        <w:t>（二）商品和服务支出247.29万元，较2020年增加51.11万元，增长26.05%，主要原因是：2021年我院人员增加，支出随之增加。</w:t>
      </w:r>
    </w:p>
    <w:p>
      <w:pPr>
        <w:ind w:firstLine="585"/>
        <w:jc w:val="left"/>
        <w:rPr>
          <w:rFonts w:hint="eastAsia" w:ascii="仿宋" w:hAnsi="仿宋" w:eastAsia="仿宋"/>
          <w:sz w:val="30"/>
          <w:szCs w:val="30"/>
        </w:rPr>
      </w:pPr>
      <w:r>
        <w:rPr>
          <w:rFonts w:hint="eastAsia" w:ascii="仿宋" w:hAnsi="仿宋" w:eastAsia="仿宋"/>
          <w:sz w:val="30"/>
          <w:szCs w:val="30"/>
        </w:rPr>
        <w:t>（三）对个人和家庭补助支出229.78万元，较2020年减少302.05万元，下降56.79%，主要原因是：2021年政府性奖励较上年大幅降低。</w:t>
      </w:r>
    </w:p>
    <w:p>
      <w:pPr>
        <w:ind w:firstLine="585"/>
        <w:jc w:val="left"/>
        <w:rPr>
          <w:rFonts w:hint="eastAsia" w:ascii="仿宋" w:hAnsi="仿宋" w:eastAsia="仿宋"/>
          <w:sz w:val="30"/>
          <w:szCs w:val="30"/>
        </w:rPr>
      </w:pPr>
      <w:r>
        <w:rPr>
          <w:rFonts w:hint="eastAsia" w:ascii="仿宋" w:hAnsi="仿宋" w:eastAsia="仿宋"/>
          <w:sz w:val="30"/>
          <w:szCs w:val="30"/>
        </w:rPr>
        <w:t>（四）资本性支出0万元，较2020年增加（减少）0万元，增长（下降）0 %，主要原因是：无。</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2021年度一般公共预算财政拨款“三公”经费支出年初预算数为117万元，决算数为85.07万元，完成预算的72.71%，决算数较2020年增加28.98万元，增长51.67%，其中：</w:t>
      </w:r>
    </w:p>
    <w:p>
      <w:pPr>
        <w:ind w:firstLine="630"/>
        <w:jc w:val="left"/>
        <w:rPr>
          <w:rFonts w:hint="default" w:ascii="仿宋_GB2312" w:hAnsi="仿宋_GB2312" w:eastAsia="仿宋_GB2312"/>
          <w:sz w:val="30"/>
          <w:szCs w:val="30"/>
          <w:lang w:val="en-US"/>
        </w:rPr>
      </w:pPr>
      <w:r>
        <w:rPr>
          <w:rFonts w:hint="eastAsia" w:ascii="仿宋_GB2312" w:hAnsi="仿宋_GB2312" w:eastAsia="仿宋_GB2312"/>
          <w:sz w:val="30"/>
          <w:szCs w:val="30"/>
        </w:rPr>
        <w:t xml:space="preserve">（一）因公出国（境）支出年初预算数为 </w:t>
      </w:r>
      <w:r>
        <w:rPr>
          <w:rFonts w:hint="eastAsia" w:ascii="仿宋_GB2312" w:hAnsi="仿宋_GB2312" w:eastAsia="仿宋_GB2312"/>
          <w:sz w:val="30"/>
          <w:szCs w:val="30"/>
          <w:lang w:val="en-US" w:eastAsia="zh-CN"/>
        </w:rPr>
        <w:t xml:space="preserve">0 </w:t>
      </w:r>
      <w:r>
        <w:rPr>
          <w:rFonts w:hint="eastAsia" w:ascii="仿宋_GB2312" w:hAnsi="仿宋_GB2312" w:eastAsia="仿宋_GB2312"/>
          <w:sz w:val="30"/>
          <w:szCs w:val="30"/>
        </w:rPr>
        <w:t>万元，决算数为</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万元，完成预算的</w:t>
      </w:r>
      <w:r>
        <w:rPr>
          <w:rFonts w:hint="eastAsia" w:ascii="仿宋_GB2312" w:hAnsi="仿宋_GB2312" w:eastAsia="仿宋_GB2312"/>
          <w:sz w:val="30"/>
          <w:szCs w:val="30"/>
          <w:lang w:val="en-US" w:eastAsia="zh-CN"/>
        </w:rPr>
        <w:t xml:space="preserve">0 </w:t>
      </w:r>
      <w:r>
        <w:rPr>
          <w:rFonts w:hint="eastAsia" w:ascii="仿宋_GB2312" w:hAnsi="仿宋_GB2312" w:eastAsia="仿宋_GB2312"/>
          <w:sz w:val="30"/>
          <w:szCs w:val="30"/>
        </w:rPr>
        <w:t>%，决算数较20</w:t>
      </w:r>
      <w:r>
        <w:rPr>
          <w:rFonts w:hint="eastAsia" w:ascii="仿宋_GB2312" w:hAnsi="仿宋_GB2312" w:eastAsia="仿宋_GB2312"/>
          <w:sz w:val="30"/>
          <w:szCs w:val="30"/>
          <w:lang w:val="en-US" w:eastAsia="zh-CN"/>
        </w:rPr>
        <w:t>20</w:t>
      </w:r>
      <w:r>
        <w:rPr>
          <w:rFonts w:hint="eastAsia" w:ascii="仿宋_GB2312" w:hAnsi="仿宋_GB2312" w:eastAsia="仿宋_GB2312"/>
          <w:sz w:val="30"/>
          <w:szCs w:val="30"/>
        </w:rPr>
        <w:t>年增加（减少）</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万元，增长（下降）</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 xml:space="preserve"> %</w:t>
      </w:r>
      <w:r>
        <w:rPr>
          <w:rFonts w:hint="eastAsia" w:ascii="仿宋_GB2312" w:hAnsi="仿宋_GB2312" w:eastAsia="仿宋_GB2312"/>
          <w:sz w:val="30"/>
          <w:szCs w:val="30"/>
          <w:lang w:eastAsia="zh-CN"/>
        </w:rPr>
        <w:t>，</w:t>
      </w:r>
      <w:r>
        <w:rPr>
          <w:rFonts w:hint="eastAsia" w:ascii="仿宋_GB2312" w:hAnsi="仿宋_GB2312" w:eastAsia="仿宋_GB2312" w:cs="Times New Roman"/>
          <w:sz w:val="30"/>
          <w:szCs w:val="30"/>
          <w:lang w:val="en-US" w:eastAsia="zh-CN"/>
        </w:rPr>
        <w:t>主要原因是;无</w:t>
      </w:r>
      <w:r>
        <w:rPr>
          <w:rFonts w:hint="eastAsia" w:ascii="仿宋_GB2312" w:hAnsi="仿宋_GB2312" w:eastAsia="仿宋_GB2312" w:cs="Times New Roman"/>
          <w:sz w:val="30"/>
          <w:szCs w:val="30"/>
        </w:rPr>
        <w:t>。</w:t>
      </w:r>
      <w:r>
        <w:rPr>
          <w:rFonts w:hint="eastAsia" w:ascii="仿宋_GB2312" w:hAnsi="仿宋_GB2312" w:eastAsia="仿宋_GB2312"/>
          <w:sz w:val="30"/>
          <w:szCs w:val="30"/>
        </w:rPr>
        <w:t>决算数较年初预算数增加（减少）的主要原因是：</w:t>
      </w:r>
      <w:r>
        <w:rPr>
          <w:rFonts w:hint="eastAsia" w:ascii="仿宋_GB2312" w:hAnsi="仿宋_GB2312" w:eastAsia="仿宋_GB2312"/>
          <w:sz w:val="30"/>
          <w:szCs w:val="30"/>
          <w:lang w:eastAsia="zh-CN"/>
        </w:rPr>
        <w:t>无</w:t>
      </w:r>
      <w:r>
        <w:rPr>
          <w:rFonts w:hint="eastAsia" w:ascii="仿宋_GB2312" w:hAnsi="仿宋_GB2312" w:eastAsia="仿宋_GB2312"/>
          <w:sz w:val="30"/>
          <w:szCs w:val="30"/>
        </w:rPr>
        <w:t>。</w:t>
      </w:r>
      <w:r>
        <w:rPr>
          <w:rFonts w:hint="eastAsia" w:ascii="仿宋_GB2312" w:hAnsi="仿宋_GB2312" w:eastAsia="仿宋_GB2312"/>
          <w:sz w:val="30"/>
          <w:szCs w:val="30"/>
          <w:lang w:val="en-US" w:eastAsia="zh-CN"/>
        </w:rPr>
        <w:t>全年安排因公出国（境）团组0 个，累计0人次，主要为：</w:t>
      </w:r>
      <w:r>
        <w:rPr>
          <w:rFonts w:hint="eastAsia" w:ascii="仿宋_GB2312" w:hAnsi="仿宋_GB2312" w:eastAsia="仿宋_GB2312"/>
          <w:sz w:val="30"/>
          <w:szCs w:val="30"/>
          <w:lang w:eastAsia="zh-CN"/>
        </w:rPr>
        <w:t>无</w:t>
      </w:r>
      <w:r>
        <w:rPr>
          <w:rFonts w:hint="eastAsia" w:ascii="仿宋_GB2312" w:hAnsi="仿宋_GB2312" w:eastAsia="仿宋_GB2312"/>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（二）公务接待费支出年初预算数为16万元，决算数为1.05万元，完成预算的6.56%，决算数较2020年增加0.53万元，增长101.56%</w:t>
      </w:r>
      <w:r>
        <w:rPr>
          <w:rFonts w:hint="eastAsia" w:ascii="仿宋" w:hAnsi="仿宋" w:eastAsia="仿宋"/>
          <w:sz w:val="30"/>
          <w:szCs w:val="30"/>
          <w:lang w:eastAsia="zh-CN"/>
        </w:rPr>
        <w:t>，主要原因是：公务接待次数在规定范围内较</w:t>
      </w:r>
      <w:r>
        <w:rPr>
          <w:rFonts w:hint="eastAsia" w:ascii="仿宋" w:hAnsi="仿宋" w:eastAsia="仿宋"/>
          <w:sz w:val="30"/>
          <w:szCs w:val="30"/>
          <w:lang w:val="en-US" w:eastAsia="zh-CN"/>
        </w:rPr>
        <w:t>2020年增加</w:t>
      </w:r>
      <w:r>
        <w:rPr>
          <w:rFonts w:hint="eastAsia" w:ascii="仿宋" w:hAnsi="仿宋" w:eastAsia="仿宋"/>
          <w:sz w:val="30"/>
          <w:szCs w:val="30"/>
        </w:rPr>
        <w:t>。决算数较年初预算数减少的主要原因是：我单位厉行勤俭节约。</w:t>
      </w:r>
      <w:r>
        <w:rPr>
          <w:rFonts w:hint="eastAsia" w:ascii="仿宋_GB2312" w:hAnsi="仿宋_GB2312" w:eastAsia="仿宋_GB2312"/>
          <w:sz w:val="30"/>
          <w:szCs w:val="30"/>
          <w:lang w:val="en-US" w:eastAsia="zh-CN"/>
        </w:rPr>
        <w:t>全年</w:t>
      </w:r>
      <w:r>
        <w:rPr>
          <w:rFonts w:hint="eastAsia" w:ascii="仿宋" w:hAnsi="仿宋" w:eastAsia="仿宋"/>
          <w:sz w:val="30"/>
          <w:szCs w:val="30"/>
        </w:rPr>
        <w:t>国内公务接待共14批次，</w:t>
      </w:r>
      <w:r>
        <w:rPr>
          <w:rFonts w:hint="eastAsia" w:ascii="仿宋_GB2312" w:hAnsi="仿宋_GB2312" w:eastAsia="仿宋_GB2312"/>
          <w:sz w:val="30"/>
          <w:szCs w:val="30"/>
          <w:lang w:val="en-US" w:eastAsia="zh-CN"/>
        </w:rPr>
        <w:t>累计接</w:t>
      </w:r>
      <w:r>
        <w:rPr>
          <w:rFonts w:hint="eastAsia" w:ascii="仿宋" w:hAnsi="仿宋" w:eastAsia="仿宋"/>
          <w:sz w:val="30"/>
          <w:szCs w:val="30"/>
        </w:rPr>
        <w:t>161人次。</w:t>
      </w:r>
      <w:r>
        <w:rPr>
          <w:rFonts w:hint="eastAsia" w:ascii="仿宋_GB2312" w:hAnsi="仿宋_GB2312" w:eastAsia="仿宋_GB2312"/>
          <w:sz w:val="30"/>
          <w:szCs w:val="30"/>
          <w:lang w:val="en-US" w:eastAsia="zh-CN"/>
        </w:rPr>
        <w:t>主要为：</w:t>
      </w:r>
      <w:r>
        <w:rPr>
          <w:rFonts w:hint="eastAsia" w:ascii="仿宋_GB2312" w:hAnsi="仿宋_GB2312" w:eastAsia="仿宋_GB2312"/>
          <w:sz w:val="30"/>
          <w:szCs w:val="30"/>
          <w:lang w:eastAsia="zh-CN"/>
        </w:rPr>
        <w:t>迎检工作</w:t>
      </w:r>
      <w:r>
        <w:rPr>
          <w:rFonts w:hint="eastAsia" w:ascii="仿宋_GB2312" w:hAnsi="仿宋_GB2312" w:eastAsia="仿宋_GB2312"/>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（三）公务用车购置及运行维护费支出101万元，其中公务用车购置年初预算数为58万元，决算数为55.74万元，完成预算的96.10%，决算数较2020年增加31.73万元，增长132.14 %</w:t>
      </w:r>
      <w:r>
        <w:rPr>
          <w:rFonts w:hint="eastAsia" w:ascii="仿宋_GB2312" w:hAnsi="仿宋_GB2312" w:eastAsia="仿宋_GB2312"/>
          <w:sz w:val="30"/>
          <w:szCs w:val="30"/>
          <w:lang w:eastAsia="zh-CN"/>
        </w:rPr>
        <w:t>，主要原因是：我院</w:t>
      </w:r>
      <w:r>
        <w:rPr>
          <w:rFonts w:hint="eastAsia" w:ascii="仿宋_GB2312" w:hAnsi="仿宋_GB2312" w:eastAsia="仿宋_GB2312"/>
          <w:sz w:val="30"/>
          <w:szCs w:val="30"/>
          <w:lang w:val="en-US" w:eastAsia="zh-CN"/>
        </w:rPr>
        <w:t>2021年购车3辆，2020年购车1辆，因此增加，全年购置公务用车3辆</w:t>
      </w:r>
      <w:r>
        <w:rPr>
          <w:rFonts w:hint="eastAsia" w:ascii="仿宋" w:hAnsi="仿宋" w:eastAsia="仿宋"/>
          <w:sz w:val="30"/>
          <w:szCs w:val="30"/>
        </w:rPr>
        <w:t>。决算数较年初预算数减少的主要原因是：我单位厉行勤俭节约，在预算额度内安排公车购置工作</w:t>
      </w:r>
      <w:r>
        <w:rPr>
          <w:rFonts w:hint="eastAsia" w:ascii="仿宋_GB2312" w:hAnsi="仿宋_GB2312" w:eastAsia="仿宋_GB2312"/>
          <w:sz w:val="30"/>
          <w:szCs w:val="30"/>
        </w:rPr>
        <w:t>。</w:t>
      </w:r>
      <w:r>
        <w:rPr>
          <w:rFonts w:hint="eastAsia" w:ascii="仿宋" w:hAnsi="仿宋" w:eastAsia="仿宋"/>
          <w:sz w:val="30"/>
          <w:szCs w:val="30"/>
        </w:rPr>
        <w:t>公务用车运行维护费支出年初预算数为43万元，决算数为28.28万元，完成预算的65.77%，决算数较2020年减少3.27万元，下降10.38%</w:t>
      </w:r>
      <w:r>
        <w:rPr>
          <w:rFonts w:hint="eastAsia" w:ascii="仿宋" w:hAnsi="仿宋" w:eastAsia="仿宋"/>
          <w:sz w:val="30"/>
          <w:szCs w:val="30"/>
          <w:lang w:eastAsia="zh-CN"/>
        </w:rPr>
        <w:t>，</w:t>
      </w:r>
      <w:r>
        <w:rPr>
          <w:rFonts w:hint="eastAsia" w:ascii="仿宋_GB2312" w:hAnsi="仿宋_GB2312" w:eastAsia="仿宋_GB2312" w:cs="Times New Roman"/>
          <w:sz w:val="30"/>
          <w:szCs w:val="30"/>
          <w:lang w:val="en-US" w:eastAsia="zh-CN"/>
        </w:rPr>
        <w:t>主要原因是：我单位厉行勤俭节约，在保障公车性能的提前下，节约三公经费</w:t>
      </w:r>
      <w:r>
        <w:rPr>
          <w:rFonts w:hint="eastAsia" w:ascii="仿宋_GB2312" w:hAnsi="仿宋_GB2312" w:eastAsia="仿宋_GB2312"/>
          <w:sz w:val="30"/>
          <w:szCs w:val="30"/>
          <w:lang w:eastAsia="zh-CN"/>
        </w:rPr>
        <w:t>，</w:t>
      </w:r>
      <w:r>
        <w:rPr>
          <w:rFonts w:hint="eastAsia" w:ascii="仿宋_GB2312" w:hAnsi="仿宋_GB2312" w:eastAsia="仿宋_GB2312"/>
          <w:sz w:val="30"/>
          <w:szCs w:val="30"/>
          <w:lang w:val="en-US" w:eastAsia="zh-CN"/>
        </w:rPr>
        <w:t>年末公务用车保有19辆</w:t>
      </w:r>
      <w:r>
        <w:rPr>
          <w:rFonts w:hint="eastAsia" w:ascii="仿宋_GB2312" w:hAnsi="仿宋_GB2312" w:eastAsia="仿宋_GB2312"/>
          <w:sz w:val="30"/>
          <w:szCs w:val="30"/>
        </w:rPr>
        <w:t>。</w:t>
      </w:r>
      <w:r>
        <w:rPr>
          <w:rFonts w:hint="eastAsia" w:ascii="仿宋" w:hAnsi="仿宋" w:eastAsia="仿宋"/>
          <w:sz w:val="30"/>
          <w:szCs w:val="30"/>
        </w:rPr>
        <w:t>决算数较年初预算数减少的主要原因是：我单位厉行勤俭节约，在预算额度内安排公车维护工作。</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2021年度机关运行经费支出247.29万元（与</w:t>
      </w:r>
      <w:r>
        <w:rPr>
          <w:rFonts w:hint="eastAsia" w:ascii="仿宋" w:hAnsi="仿宋" w:eastAsia="仿宋"/>
          <w:sz w:val="30"/>
          <w:szCs w:val="30"/>
          <w:lang w:eastAsia="zh-CN"/>
        </w:rPr>
        <w:t>单位</w:t>
      </w:r>
      <w:r>
        <w:rPr>
          <w:rFonts w:hint="eastAsia" w:ascii="仿宋" w:hAnsi="仿宋" w:eastAsia="仿宋"/>
          <w:sz w:val="30"/>
          <w:szCs w:val="30"/>
        </w:rPr>
        <w:t xml:space="preserve">决算中行政单位和参照公务员法管理事业单位一般公共预算财政拨款基本支出中公用经费之和保持一致），较年初预算数减少111.13万元，降低30.01 %，主要原因是：落实过紧日子要求，压减一般性支出。 </w:t>
      </w:r>
    </w:p>
    <w:p>
      <w:pPr>
        <w:ind w:firstLine="630"/>
        <w:jc w:val="left"/>
        <w:rPr>
          <w:rFonts w:ascii="黑体" w:hAnsi="黑体" w:eastAsia="黑体"/>
          <w:sz w:val="30"/>
          <w:szCs w:val="30"/>
        </w:rPr>
      </w:pPr>
      <w:r>
        <w:rPr>
          <w:rFonts w:hint="eastAsia" w:ascii="仿宋" w:hAnsi="仿宋" w:eastAsia="仿宋"/>
          <w:sz w:val="30"/>
          <w:szCs w:val="30"/>
        </w:rPr>
        <w:t xml:space="preserve"> </w:t>
      </w:r>
      <w:r>
        <w:rPr>
          <w:rFonts w:hint="eastAsia" w:ascii="黑体" w:hAnsi="黑体" w:eastAsia="黑体"/>
          <w:sz w:val="30"/>
          <w:szCs w:val="30"/>
        </w:rPr>
        <w:t>七、政府采购支出情况说明</w:t>
      </w:r>
    </w:p>
    <w:p>
      <w:pPr>
        <w:pStyle w:val="7"/>
        <w:spacing w:line="600" w:lineRule="atLeast"/>
        <w:ind w:firstLine="600"/>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2021年度政府采购支出总额424.45万元，其中：政府采购货物支出368.42万元、政府采购工程支出0万元、政府采购服务支出56.02万元。授予中小企业合同金额0</w:t>
      </w:r>
      <w:r>
        <w:rPr>
          <w:rFonts w:hint="eastAsia" w:ascii="仿宋" w:hAnsi="仿宋" w:eastAsia="仿宋"/>
          <w:sz w:val="30"/>
          <w:szCs w:val="30"/>
          <w:lang w:val="en-US" w:eastAsia="zh-CN"/>
        </w:rPr>
        <w:t xml:space="preserve"> </w:t>
      </w:r>
      <w:r>
        <w:rPr>
          <w:rFonts w:hint="eastAsia" w:ascii="仿宋" w:hAnsi="仿宋" w:eastAsia="仿宋"/>
          <w:sz w:val="30"/>
          <w:szCs w:val="30"/>
        </w:rPr>
        <w:t>万元，占政府采购支出总额的0%，其中：授予小微企业合同金额0万元，占政府采购支出总额的0%。（</w:t>
      </w:r>
      <w:r>
        <w:rPr>
          <w:rFonts w:hint="eastAsia" w:ascii="仿宋" w:hAnsi="仿宋" w:eastAsia="仿宋"/>
          <w:sz w:val="30"/>
          <w:szCs w:val="30"/>
          <w:lang w:eastAsia="zh-CN"/>
        </w:rPr>
        <w:t>单位</w:t>
      </w:r>
      <w:r>
        <w:rPr>
          <w:rFonts w:hint="eastAsia" w:ascii="仿宋" w:hAnsi="仿宋" w:eastAsia="仿宋"/>
          <w:sz w:val="30"/>
          <w:szCs w:val="30"/>
        </w:rPr>
        <w:t>公开的政府采购金额的计算口径为：本</w:t>
      </w:r>
      <w:r>
        <w:rPr>
          <w:rFonts w:hint="eastAsia" w:ascii="仿宋" w:hAnsi="仿宋" w:eastAsia="仿宋"/>
          <w:sz w:val="30"/>
          <w:szCs w:val="30"/>
          <w:lang w:eastAsia="zh-CN"/>
        </w:rPr>
        <w:t>单位</w:t>
      </w:r>
      <w:r>
        <w:rPr>
          <w:rFonts w:hint="eastAsia" w:ascii="仿宋" w:hAnsi="仿宋" w:eastAsia="仿宋"/>
          <w:sz w:val="30"/>
          <w:szCs w:val="30"/>
        </w:rPr>
        <w:t>纳入2021年</w:t>
      </w:r>
      <w:r>
        <w:rPr>
          <w:rFonts w:hint="eastAsia" w:ascii="仿宋" w:hAnsi="仿宋" w:eastAsia="仿宋"/>
          <w:sz w:val="30"/>
          <w:szCs w:val="30"/>
          <w:lang w:eastAsia="zh-CN"/>
        </w:rPr>
        <w:t>单位</w:t>
      </w:r>
      <w:r>
        <w:rPr>
          <w:rFonts w:hint="eastAsia" w:ascii="仿宋" w:hAnsi="仿宋" w:eastAsia="仿宋"/>
          <w:sz w:val="30"/>
          <w:szCs w:val="30"/>
        </w:rPr>
        <w:t>预算范围的各项政府采购支出金额之和。）</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rPr>
      </w:pPr>
      <w:r>
        <w:rPr>
          <w:rFonts w:hint="eastAsia" w:ascii="仿宋" w:hAnsi="仿宋" w:eastAsia="仿宋"/>
          <w:kern w:val="0"/>
          <w:sz w:val="30"/>
          <w:szCs w:val="30"/>
        </w:rPr>
        <w:t>截止2021年12月31日，本</w:t>
      </w:r>
      <w:r>
        <w:rPr>
          <w:rFonts w:hint="eastAsia" w:ascii="仿宋" w:hAnsi="仿宋" w:eastAsia="仿宋"/>
          <w:kern w:val="0"/>
          <w:sz w:val="30"/>
          <w:szCs w:val="30"/>
          <w:lang w:eastAsia="zh-CN"/>
        </w:rPr>
        <w:t>单位</w:t>
      </w:r>
      <w:r>
        <w:rPr>
          <w:rFonts w:hint="eastAsia" w:ascii="仿宋" w:hAnsi="仿宋" w:eastAsia="仿宋"/>
          <w:kern w:val="0"/>
          <w:sz w:val="30"/>
          <w:szCs w:val="30"/>
        </w:rPr>
        <w:t>国有资产占用情况见</w:t>
      </w:r>
      <w:r>
        <w:rPr>
          <w:rFonts w:hint="eastAsia" w:ascii="仿宋" w:hAnsi="仿宋" w:eastAsia="仿宋"/>
          <w:kern w:val="0"/>
          <w:sz w:val="30"/>
          <w:szCs w:val="30"/>
          <w:lang w:eastAsia="zh-CN"/>
        </w:rPr>
        <w:t>公开</w:t>
      </w:r>
      <w:r>
        <w:rPr>
          <w:rFonts w:hint="eastAsia" w:ascii="仿宋" w:hAnsi="仿宋" w:eastAsia="仿宋"/>
          <w:kern w:val="0"/>
          <w:sz w:val="30"/>
          <w:szCs w:val="30"/>
        </w:rPr>
        <w:t>10表《国有资产占用情况表》。我院无其他用车。</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autoSpaceDE w:val="0"/>
        <w:autoSpaceDN w:val="0"/>
        <w:adjustRightInd w:val="0"/>
        <w:spacing w:line="360" w:lineRule="auto"/>
        <w:ind w:firstLine="600" w:firstLineChars="200"/>
        <w:jc w:val="left"/>
        <w:rPr>
          <w:rFonts w:hint="eastAsia" w:ascii="仿宋" w:hAnsi="仿宋" w:eastAsia="仿宋" w:cs="仿宋"/>
          <w:b w:val="0"/>
          <w:bCs w:val="0"/>
          <w:sz w:val="28"/>
          <w:szCs w:val="28"/>
          <w:lang w:val="en-US" w:eastAsia="zh-CN"/>
        </w:rPr>
      </w:pPr>
      <w:r>
        <w:rPr>
          <w:rFonts w:hint="eastAsia" w:ascii="仿宋_GB2312" w:hAnsi="仿宋_GB2312" w:eastAsia="仿宋_GB2312" w:cs="仿宋_GB2312"/>
          <w:color w:val="auto"/>
          <w:kern w:val="0"/>
          <w:sz w:val="30"/>
          <w:szCs w:val="30"/>
        </w:rPr>
        <w:t>根据预算绩效管理要求，我</w:t>
      </w:r>
      <w:r>
        <w:rPr>
          <w:rFonts w:hint="eastAsia" w:ascii="仿宋_GB2312" w:hAnsi="仿宋_GB2312" w:eastAsia="仿宋_GB2312" w:cs="仿宋_GB2312"/>
          <w:color w:val="auto"/>
          <w:kern w:val="0"/>
          <w:sz w:val="30"/>
          <w:szCs w:val="30"/>
          <w:lang w:eastAsia="zh-CN"/>
        </w:rPr>
        <w:t>单位</w:t>
      </w:r>
      <w:r>
        <w:rPr>
          <w:rFonts w:hint="eastAsia" w:ascii="仿宋_GB2312" w:hAnsi="仿宋_GB2312" w:eastAsia="仿宋_GB2312" w:cs="仿宋_GB2312"/>
          <w:color w:val="auto"/>
          <w:kern w:val="0"/>
          <w:sz w:val="30"/>
          <w:szCs w:val="30"/>
        </w:rPr>
        <w:t>组织对</w:t>
      </w:r>
      <w:r>
        <w:rPr>
          <w:rFonts w:hint="eastAsia" w:ascii="仿宋_GB2312" w:hAnsi="仿宋_GB2312" w:eastAsia="仿宋_GB2312" w:cs="仿宋_GB2312"/>
          <w:color w:val="auto"/>
          <w:kern w:val="0"/>
          <w:sz w:val="30"/>
          <w:szCs w:val="30"/>
          <w:lang w:val="en-US" w:eastAsia="zh-CN"/>
        </w:rPr>
        <w:t>纳入</w:t>
      </w:r>
      <w:r>
        <w:rPr>
          <w:rFonts w:ascii="仿宋_GB2312" w:hAnsi="仿宋_GB2312" w:eastAsia="仿宋_GB2312" w:cs="仿宋_GB2312"/>
          <w:color w:val="auto"/>
          <w:kern w:val="0"/>
          <w:sz w:val="30"/>
          <w:szCs w:val="30"/>
        </w:rPr>
        <w:t>20</w:t>
      </w:r>
      <w:r>
        <w:rPr>
          <w:rFonts w:hint="eastAsia" w:ascii="仿宋_GB2312" w:hAnsi="仿宋_GB2312" w:eastAsia="仿宋_GB2312" w:cs="仿宋_GB2312"/>
          <w:color w:val="auto"/>
          <w:kern w:val="0"/>
          <w:sz w:val="30"/>
          <w:szCs w:val="30"/>
        </w:rPr>
        <w:t>2</w:t>
      </w:r>
      <w:r>
        <w:rPr>
          <w:rFonts w:hint="eastAsia" w:ascii="仿宋_GB2312" w:hAnsi="仿宋_GB2312" w:eastAsia="仿宋_GB2312" w:cs="仿宋_GB2312"/>
          <w:color w:val="auto"/>
          <w:kern w:val="0"/>
          <w:sz w:val="30"/>
          <w:szCs w:val="30"/>
          <w:lang w:val="en-US" w:eastAsia="zh-CN"/>
        </w:rPr>
        <w:t>1</w:t>
      </w:r>
      <w:r>
        <w:rPr>
          <w:rFonts w:hint="eastAsia" w:ascii="仿宋_GB2312" w:hAnsi="仿宋_GB2312" w:eastAsia="仿宋_GB2312" w:cs="仿宋_GB2312"/>
          <w:color w:val="auto"/>
          <w:kern w:val="0"/>
          <w:sz w:val="30"/>
          <w:szCs w:val="30"/>
        </w:rPr>
        <w:t>年度</w:t>
      </w:r>
      <w:r>
        <w:rPr>
          <w:rFonts w:hint="eastAsia" w:ascii="仿宋_GB2312" w:hAnsi="仿宋_GB2312" w:eastAsia="仿宋_GB2312" w:cs="仿宋_GB2312"/>
          <w:color w:val="auto"/>
          <w:kern w:val="0"/>
          <w:sz w:val="30"/>
          <w:szCs w:val="30"/>
          <w:lang w:val="en-US" w:eastAsia="zh-CN"/>
        </w:rPr>
        <w:t>部门预算范围的二级项目1个</w:t>
      </w:r>
      <w:r>
        <w:rPr>
          <w:rFonts w:hint="eastAsia" w:ascii="仿宋_GB2312" w:hAnsi="仿宋_GB2312" w:eastAsia="仿宋_GB2312" w:cs="仿宋_GB2312"/>
          <w:color w:val="auto"/>
          <w:kern w:val="0"/>
          <w:sz w:val="30"/>
          <w:szCs w:val="30"/>
        </w:rPr>
        <w:t>全面开展绩效自评，共涉及资金</w:t>
      </w:r>
      <w:r>
        <w:rPr>
          <w:rFonts w:hint="eastAsia" w:ascii="仿宋_GB2312" w:hAnsi="仿宋_GB2312" w:eastAsia="仿宋_GB2312" w:cs="仿宋_GB2312"/>
          <w:color w:val="auto"/>
          <w:kern w:val="0"/>
          <w:sz w:val="30"/>
          <w:szCs w:val="30"/>
          <w:lang w:val="en-US" w:eastAsia="zh-CN"/>
        </w:rPr>
        <w:t>580</w:t>
      </w:r>
      <w:r>
        <w:rPr>
          <w:rFonts w:hint="eastAsia" w:ascii="仿宋_GB2312" w:hAnsi="仿宋_GB2312" w:eastAsia="仿宋_GB2312" w:cs="仿宋_GB2312"/>
          <w:color w:val="auto"/>
          <w:kern w:val="0"/>
          <w:sz w:val="30"/>
          <w:szCs w:val="30"/>
        </w:rPr>
        <w:t>万元，占项目支出总额的</w:t>
      </w:r>
      <w:r>
        <w:rPr>
          <w:rFonts w:hint="eastAsia" w:ascii="仿宋_GB2312" w:hAnsi="仿宋_GB2312" w:eastAsia="仿宋_GB2312" w:cs="仿宋_GB2312"/>
          <w:color w:val="auto"/>
          <w:kern w:val="0"/>
          <w:sz w:val="30"/>
          <w:szCs w:val="30"/>
          <w:lang w:val="en-US" w:eastAsia="zh-CN"/>
        </w:rPr>
        <w:t>36.05</w:t>
      </w:r>
      <w:r>
        <w:rPr>
          <w:rFonts w:hint="eastAsia" w:ascii="仿宋_GB2312" w:hAnsi="仿宋_GB2312" w:eastAsia="仿宋_GB2312" w:cs="仿宋_GB2312"/>
          <w:color w:val="auto"/>
          <w:kern w:val="0"/>
          <w:sz w:val="30"/>
          <w:szCs w:val="30"/>
        </w:rPr>
        <w:t xml:space="preserve">%。    </w:t>
      </w:r>
    </w:p>
    <w:p>
      <w:pPr>
        <w:numPr>
          <w:ilvl w:val="0"/>
          <w:numId w:val="0"/>
        </w:numPr>
        <w:autoSpaceDE w:val="0"/>
        <w:autoSpaceDN w:val="0"/>
        <w:adjustRightInd w:val="0"/>
        <w:spacing w:line="360" w:lineRule="auto"/>
        <w:ind w:firstLine="600" w:firstLineChars="200"/>
        <w:jc w:val="left"/>
        <w:rPr>
          <w:rFonts w:hint="default"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二）</w:t>
      </w:r>
      <w:r>
        <w:rPr>
          <w:rFonts w:hint="eastAsia" w:ascii="仿宋_GB2312" w:hAnsi="仿宋_GB2312" w:eastAsia="仿宋_GB2312" w:cs="仿宋_GB2312"/>
          <w:color w:val="auto"/>
          <w:kern w:val="0"/>
          <w:sz w:val="30"/>
          <w:szCs w:val="30"/>
          <w:lang w:eastAsia="zh-CN"/>
        </w:rPr>
        <w:t>单位</w:t>
      </w:r>
      <w:r>
        <w:rPr>
          <w:rFonts w:hint="eastAsia" w:ascii="仿宋_GB2312" w:hAnsi="仿宋_GB2312" w:eastAsia="仿宋_GB2312" w:cs="仿宋_GB2312"/>
          <w:color w:val="auto"/>
          <w:kern w:val="0"/>
          <w:sz w:val="30"/>
          <w:szCs w:val="30"/>
        </w:rPr>
        <w:t>决算中项目绩效自评</w:t>
      </w:r>
      <w:r>
        <w:rPr>
          <w:rFonts w:hint="eastAsia" w:ascii="仿宋_GB2312" w:hAnsi="仿宋_GB2312" w:eastAsia="仿宋_GB2312" w:cs="仿宋_GB2312"/>
          <w:color w:val="auto"/>
          <w:kern w:val="0"/>
          <w:sz w:val="30"/>
          <w:szCs w:val="30"/>
          <w:lang w:val="en-US" w:eastAsia="zh-CN"/>
        </w:rPr>
        <w:t>情况</w:t>
      </w:r>
      <w:r>
        <w:rPr>
          <w:rFonts w:hint="eastAsia" w:ascii="仿宋_GB2312" w:hAnsi="仿宋_GB2312" w:eastAsia="仿宋_GB2312" w:cs="仿宋_GB2312"/>
          <w:color w:val="auto"/>
          <w:kern w:val="0"/>
          <w:sz w:val="30"/>
          <w:szCs w:val="30"/>
        </w:rPr>
        <w:t>。</w:t>
      </w:r>
    </w:p>
    <w:tbl>
      <w:tblPr>
        <w:tblStyle w:val="5"/>
        <w:tblW w:w="10060" w:type="dxa"/>
        <w:jc w:val="center"/>
        <w:tblLayout w:type="fixed"/>
        <w:tblCellMar>
          <w:top w:w="0" w:type="dxa"/>
          <w:left w:w="108" w:type="dxa"/>
          <w:bottom w:w="0" w:type="dxa"/>
          <w:right w:w="108" w:type="dxa"/>
        </w:tblCellMar>
      </w:tblPr>
      <w:tblGrid>
        <w:gridCol w:w="676"/>
        <w:gridCol w:w="870"/>
        <w:gridCol w:w="1531"/>
        <w:gridCol w:w="838"/>
        <w:gridCol w:w="523"/>
        <w:gridCol w:w="600"/>
        <w:gridCol w:w="1125"/>
        <w:gridCol w:w="1440"/>
        <w:gridCol w:w="630"/>
        <w:gridCol w:w="555"/>
        <w:gridCol w:w="637"/>
        <w:gridCol w:w="635"/>
      </w:tblGrid>
      <w:tr>
        <w:tblPrEx>
          <w:tblCellMar>
            <w:top w:w="0" w:type="dxa"/>
            <w:left w:w="108" w:type="dxa"/>
            <w:bottom w:w="0" w:type="dxa"/>
            <w:right w:w="108" w:type="dxa"/>
          </w:tblCellMar>
        </w:tblPrEx>
        <w:trPr>
          <w:trHeight w:val="302" w:hRule="exact"/>
          <w:jc w:val="center"/>
        </w:trPr>
        <w:tc>
          <w:tcPr>
            <w:tcW w:w="15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项目名称</w:t>
            </w:r>
          </w:p>
        </w:tc>
        <w:tc>
          <w:tcPr>
            <w:tcW w:w="8514"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lang w:eastAsia="zh-CN"/>
              </w:rPr>
            </w:pPr>
            <w:r>
              <w:rPr>
                <w:rFonts w:hint="eastAsia" w:ascii="黑体" w:hAnsi="黑体" w:eastAsia="黑体" w:cs="黑体"/>
                <w:color w:val="000000"/>
                <w:kern w:val="0"/>
                <w:sz w:val="20"/>
                <w:lang w:eastAsia="zh-CN"/>
              </w:rPr>
              <w:t>法庭建设</w:t>
            </w:r>
          </w:p>
        </w:tc>
      </w:tr>
      <w:tr>
        <w:tblPrEx>
          <w:tblCellMar>
            <w:top w:w="0" w:type="dxa"/>
            <w:left w:w="108" w:type="dxa"/>
            <w:bottom w:w="0" w:type="dxa"/>
            <w:right w:w="108" w:type="dxa"/>
          </w:tblCellMar>
        </w:tblPrEx>
        <w:trPr>
          <w:trHeight w:val="302" w:hRule="exact"/>
          <w:jc w:val="center"/>
        </w:trPr>
        <w:tc>
          <w:tcPr>
            <w:tcW w:w="15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主管部门</w:t>
            </w:r>
          </w:p>
        </w:tc>
        <w:tc>
          <w:tcPr>
            <w:tcW w:w="461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lang w:eastAsia="zh-CN"/>
              </w:rPr>
            </w:pPr>
            <w:r>
              <w:rPr>
                <w:rFonts w:hint="eastAsia" w:ascii="黑体" w:hAnsi="黑体" w:eastAsia="黑体" w:cs="黑体"/>
                <w:color w:val="000000"/>
                <w:kern w:val="0"/>
                <w:sz w:val="20"/>
                <w:lang w:eastAsia="zh-CN"/>
              </w:rPr>
              <w:t>进贤县人民法院</w:t>
            </w:r>
          </w:p>
        </w:tc>
        <w:tc>
          <w:tcPr>
            <w:tcW w:w="144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实施单位</w:t>
            </w:r>
          </w:p>
        </w:tc>
        <w:tc>
          <w:tcPr>
            <w:tcW w:w="245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lang w:eastAsia="zh-CN"/>
              </w:rPr>
              <w:t>进贤县人民法院</w:t>
            </w:r>
          </w:p>
        </w:tc>
      </w:tr>
      <w:tr>
        <w:tblPrEx>
          <w:tblCellMar>
            <w:top w:w="0" w:type="dxa"/>
            <w:left w:w="108" w:type="dxa"/>
            <w:bottom w:w="0" w:type="dxa"/>
            <w:right w:w="108" w:type="dxa"/>
          </w:tblCellMar>
        </w:tblPrEx>
        <w:trPr>
          <w:trHeight w:val="403" w:hRule="atLeast"/>
          <w:jc w:val="center"/>
        </w:trPr>
        <w:tc>
          <w:tcPr>
            <w:tcW w:w="15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项目资金</w:t>
            </w:r>
            <w:r>
              <w:rPr>
                <w:rFonts w:hint="eastAsia" w:ascii="黑体" w:hAnsi="黑体" w:eastAsia="黑体" w:cs="黑体"/>
                <w:color w:val="000000"/>
                <w:kern w:val="0"/>
                <w:sz w:val="20"/>
              </w:rPr>
              <w:br w:type="textWrapping"/>
            </w:r>
            <w:r>
              <w:rPr>
                <w:rFonts w:hint="eastAsia" w:ascii="黑体" w:hAnsi="黑体" w:eastAsia="黑体" w:cs="黑体"/>
                <w:color w:val="000000"/>
                <w:kern w:val="0"/>
                <w:sz w:val="20"/>
              </w:rPr>
              <w:t>（万元）</w:t>
            </w: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rPr>
                <w:rFonts w:hint="eastAsia" w:ascii="黑体" w:hAnsi="黑体" w:eastAsia="黑体" w:cs="黑体"/>
                <w:color w:val="000000"/>
                <w:kern w:val="0"/>
                <w:sz w:val="20"/>
              </w:rPr>
            </w:pPr>
            <w:r>
              <w:rPr>
                <w:rFonts w:hint="eastAsia" w:ascii="黑体" w:hAnsi="黑体" w:eastAsia="黑体" w:cs="黑体"/>
                <w:color w:val="000000"/>
                <w:kern w:val="0"/>
                <w:sz w:val="20"/>
              </w:rPr>
              <w:t>年初预算数</w:t>
            </w:r>
          </w:p>
        </w:tc>
        <w:tc>
          <w:tcPr>
            <w:tcW w:w="112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全年预算数</w:t>
            </w:r>
          </w:p>
        </w:tc>
        <w:tc>
          <w:tcPr>
            <w:tcW w:w="144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全年执行数</w:t>
            </w: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分值</w:t>
            </w:r>
          </w:p>
        </w:tc>
        <w:tc>
          <w:tcPr>
            <w:tcW w:w="637"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执行率</w:t>
            </w:r>
          </w:p>
        </w:tc>
        <w:tc>
          <w:tcPr>
            <w:tcW w:w="63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得分</w:t>
            </w:r>
          </w:p>
        </w:tc>
      </w:tr>
      <w:tr>
        <w:tblPrEx>
          <w:tblCellMar>
            <w:top w:w="0" w:type="dxa"/>
            <w:left w:w="108" w:type="dxa"/>
            <w:bottom w:w="0" w:type="dxa"/>
            <w:right w:w="108" w:type="dxa"/>
          </w:tblCellMar>
        </w:tblPrEx>
        <w:trPr>
          <w:trHeight w:val="302" w:hRule="exact"/>
          <w:jc w:val="center"/>
        </w:trPr>
        <w:tc>
          <w:tcPr>
            <w:tcW w:w="1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rPr>
                <w:rFonts w:hint="eastAsia" w:ascii="黑体" w:hAnsi="黑体" w:eastAsia="黑体" w:cs="黑体"/>
                <w:color w:val="000000"/>
                <w:kern w:val="0"/>
                <w:sz w:val="20"/>
              </w:rPr>
            </w:pPr>
            <w:r>
              <w:rPr>
                <w:rFonts w:hint="eastAsia" w:ascii="黑体" w:hAnsi="黑体" w:eastAsia="黑体" w:cs="黑体"/>
                <w:color w:val="000000"/>
                <w:kern w:val="0"/>
                <w:sz w:val="20"/>
              </w:rPr>
              <w:t>年度资金总额</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0</w:t>
            </w:r>
          </w:p>
        </w:tc>
        <w:tc>
          <w:tcPr>
            <w:tcW w:w="112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580</w:t>
            </w:r>
          </w:p>
        </w:tc>
        <w:tc>
          <w:tcPr>
            <w:tcW w:w="144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580</w:t>
            </w: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10</w:t>
            </w:r>
          </w:p>
        </w:tc>
        <w:tc>
          <w:tcPr>
            <w:tcW w:w="637"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100%</w:t>
            </w:r>
          </w:p>
        </w:tc>
        <w:tc>
          <w:tcPr>
            <w:tcW w:w="63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9.6</w:t>
            </w:r>
          </w:p>
        </w:tc>
      </w:tr>
      <w:tr>
        <w:tblPrEx>
          <w:tblCellMar>
            <w:top w:w="0" w:type="dxa"/>
            <w:left w:w="108" w:type="dxa"/>
            <w:bottom w:w="0" w:type="dxa"/>
            <w:right w:w="108" w:type="dxa"/>
          </w:tblCellMar>
        </w:tblPrEx>
        <w:trPr>
          <w:trHeight w:val="291" w:hRule="atLeast"/>
          <w:jc w:val="center"/>
        </w:trPr>
        <w:tc>
          <w:tcPr>
            <w:tcW w:w="1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其中：当年财政拨款</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0</w:t>
            </w:r>
          </w:p>
        </w:tc>
        <w:tc>
          <w:tcPr>
            <w:tcW w:w="112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580</w:t>
            </w:r>
          </w:p>
        </w:tc>
        <w:tc>
          <w:tcPr>
            <w:tcW w:w="144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580</w:t>
            </w: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w:t>
            </w:r>
          </w:p>
        </w:tc>
        <w:tc>
          <w:tcPr>
            <w:tcW w:w="637"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63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w:t>
            </w:r>
          </w:p>
        </w:tc>
      </w:tr>
      <w:tr>
        <w:tblPrEx>
          <w:tblCellMar>
            <w:top w:w="0" w:type="dxa"/>
            <w:left w:w="108" w:type="dxa"/>
            <w:bottom w:w="0" w:type="dxa"/>
            <w:right w:w="108" w:type="dxa"/>
          </w:tblCellMar>
        </w:tblPrEx>
        <w:trPr>
          <w:trHeight w:val="277" w:hRule="atLeast"/>
          <w:jc w:val="center"/>
        </w:trPr>
        <w:tc>
          <w:tcPr>
            <w:tcW w:w="1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 xml:space="preserve">      上年结转资金</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12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44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w:t>
            </w:r>
          </w:p>
        </w:tc>
        <w:tc>
          <w:tcPr>
            <w:tcW w:w="637"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63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w:t>
            </w:r>
          </w:p>
        </w:tc>
      </w:tr>
      <w:tr>
        <w:tblPrEx>
          <w:tblCellMar>
            <w:top w:w="0" w:type="dxa"/>
            <w:left w:w="108" w:type="dxa"/>
            <w:bottom w:w="0" w:type="dxa"/>
            <w:right w:w="108" w:type="dxa"/>
          </w:tblCellMar>
        </w:tblPrEx>
        <w:trPr>
          <w:trHeight w:val="302" w:hRule="exact"/>
          <w:jc w:val="center"/>
        </w:trPr>
        <w:tc>
          <w:tcPr>
            <w:tcW w:w="1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 xml:space="preserve">  其他资金</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12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44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w:t>
            </w:r>
          </w:p>
        </w:tc>
        <w:tc>
          <w:tcPr>
            <w:tcW w:w="637"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63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w:t>
            </w:r>
          </w:p>
        </w:tc>
      </w:tr>
      <w:tr>
        <w:tblPrEx>
          <w:tblCellMar>
            <w:top w:w="0" w:type="dxa"/>
            <w:left w:w="108" w:type="dxa"/>
            <w:bottom w:w="0" w:type="dxa"/>
            <w:right w:w="108" w:type="dxa"/>
          </w:tblCellMar>
        </w:tblPrEx>
        <w:trPr>
          <w:trHeight w:val="302" w:hRule="exact"/>
          <w:jc w:val="center"/>
        </w:trPr>
        <w:tc>
          <w:tcPr>
            <w:tcW w:w="6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年度总体目标</w:t>
            </w:r>
          </w:p>
        </w:tc>
        <w:tc>
          <w:tcPr>
            <w:tcW w:w="548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预期目标</w:t>
            </w:r>
          </w:p>
        </w:tc>
        <w:tc>
          <w:tcPr>
            <w:tcW w:w="389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实际完成情况</w:t>
            </w:r>
          </w:p>
        </w:tc>
      </w:tr>
      <w:tr>
        <w:tblPrEx>
          <w:tblCellMar>
            <w:top w:w="0" w:type="dxa"/>
            <w:left w:w="108" w:type="dxa"/>
            <w:bottom w:w="0" w:type="dxa"/>
            <w:right w:w="108" w:type="dxa"/>
          </w:tblCellMar>
        </w:tblPrEx>
        <w:trPr>
          <w:trHeight w:val="604" w:hRule="exact"/>
          <w:jc w:val="center"/>
        </w:trPr>
        <w:tc>
          <w:tcPr>
            <w:tcW w:w="6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548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宋体" w:eastAsia="黑体" w:cs="宋体"/>
                <w:color w:val="000000"/>
                <w:kern w:val="0"/>
                <w:sz w:val="20"/>
                <w:lang w:eastAsia="zh-CN"/>
              </w:rPr>
              <w:t>该项资金用于建设我院派出法庭，改善司法条件</w:t>
            </w:r>
          </w:p>
        </w:tc>
        <w:tc>
          <w:tcPr>
            <w:tcW w:w="389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宋体" w:eastAsia="黑体" w:cs="宋体"/>
                <w:color w:val="000000"/>
                <w:kern w:val="0"/>
                <w:sz w:val="20"/>
              </w:rPr>
              <w:t>实际完成情况</w:t>
            </w:r>
          </w:p>
        </w:tc>
      </w:tr>
      <w:tr>
        <w:tblPrEx>
          <w:tblCellMar>
            <w:top w:w="0" w:type="dxa"/>
            <w:left w:w="108" w:type="dxa"/>
            <w:bottom w:w="0" w:type="dxa"/>
            <w:right w:w="108" w:type="dxa"/>
          </w:tblCellMar>
        </w:tblPrEx>
        <w:trPr>
          <w:trHeight w:val="735" w:hRule="exact"/>
          <w:jc w:val="center"/>
        </w:trPr>
        <w:tc>
          <w:tcPr>
            <w:tcW w:w="676" w:type="dxa"/>
            <w:vMerge w:val="restart"/>
            <w:tcBorders>
              <w:top w:val="nil"/>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绩</w:t>
            </w:r>
            <w:r>
              <w:rPr>
                <w:rFonts w:hint="eastAsia" w:ascii="黑体" w:hAnsi="黑体" w:eastAsia="黑体" w:cs="黑体"/>
                <w:color w:val="000000"/>
                <w:kern w:val="0"/>
                <w:sz w:val="20"/>
              </w:rPr>
              <w:br w:type="textWrapping"/>
            </w:r>
            <w:r>
              <w:rPr>
                <w:rFonts w:hint="eastAsia" w:ascii="黑体" w:hAnsi="黑体" w:eastAsia="黑体" w:cs="黑体"/>
                <w:color w:val="000000"/>
                <w:kern w:val="0"/>
                <w:sz w:val="20"/>
              </w:rPr>
              <w:t>效</w:t>
            </w:r>
            <w:r>
              <w:rPr>
                <w:rFonts w:hint="eastAsia" w:ascii="黑体" w:hAnsi="黑体" w:eastAsia="黑体" w:cs="黑体"/>
                <w:color w:val="000000"/>
                <w:kern w:val="0"/>
                <w:sz w:val="20"/>
              </w:rPr>
              <w:br w:type="textWrapping"/>
            </w:r>
            <w:r>
              <w:rPr>
                <w:rFonts w:hint="eastAsia" w:ascii="黑体" w:hAnsi="黑体" w:eastAsia="黑体" w:cs="黑体"/>
                <w:color w:val="000000"/>
                <w:kern w:val="0"/>
                <w:sz w:val="20"/>
              </w:rPr>
              <w:t>指</w:t>
            </w:r>
            <w:r>
              <w:rPr>
                <w:rFonts w:hint="eastAsia" w:ascii="黑体" w:hAnsi="黑体" w:eastAsia="黑体" w:cs="黑体"/>
                <w:color w:val="000000"/>
                <w:kern w:val="0"/>
                <w:sz w:val="20"/>
              </w:rPr>
              <w:br w:type="textWrapping"/>
            </w:r>
            <w:r>
              <w:rPr>
                <w:rFonts w:hint="eastAsia" w:ascii="黑体" w:hAnsi="黑体" w:eastAsia="黑体" w:cs="黑体"/>
                <w:color w:val="000000"/>
                <w:kern w:val="0"/>
                <w:sz w:val="20"/>
              </w:rPr>
              <w:t>标</w:t>
            </w:r>
          </w:p>
        </w:tc>
        <w:tc>
          <w:tcPr>
            <w:tcW w:w="8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一级</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指标</w:t>
            </w:r>
          </w:p>
        </w:tc>
        <w:tc>
          <w:tcPr>
            <w:tcW w:w="153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二级指标</w:t>
            </w:r>
          </w:p>
        </w:tc>
        <w:tc>
          <w:tcPr>
            <w:tcW w:w="13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三级指标</w:t>
            </w:r>
          </w:p>
        </w:tc>
        <w:tc>
          <w:tcPr>
            <w:tcW w:w="172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年度</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指标值</w:t>
            </w:r>
          </w:p>
        </w:tc>
        <w:tc>
          <w:tcPr>
            <w:tcW w:w="144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实际</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完成值</w:t>
            </w:r>
          </w:p>
        </w:tc>
        <w:tc>
          <w:tcPr>
            <w:tcW w:w="63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分值</w:t>
            </w:r>
          </w:p>
        </w:tc>
        <w:tc>
          <w:tcPr>
            <w:tcW w:w="55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得分</w:t>
            </w:r>
          </w:p>
        </w:tc>
        <w:tc>
          <w:tcPr>
            <w:tcW w:w="12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偏差原因分析及改进措施</w:t>
            </w:r>
          </w:p>
        </w:tc>
      </w:tr>
      <w:tr>
        <w:tblPrEx>
          <w:tblCellMar>
            <w:top w:w="0" w:type="dxa"/>
            <w:left w:w="108" w:type="dxa"/>
            <w:bottom w:w="0" w:type="dxa"/>
            <w:right w:w="108" w:type="dxa"/>
          </w:tblCellMar>
        </w:tblPrEx>
        <w:trPr>
          <w:trHeight w:val="6137"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产出</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指标</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(50分）</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数量指标</w:t>
            </w:r>
          </w:p>
        </w:tc>
        <w:tc>
          <w:tcPr>
            <w:tcW w:w="13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指标1：</w:t>
            </w:r>
          </w:p>
        </w:tc>
        <w:tc>
          <w:tcPr>
            <w:tcW w:w="172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宋体" w:eastAsia="黑体" w:cs="宋体"/>
                <w:color w:val="000000"/>
                <w:kern w:val="0"/>
                <w:sz w:val="20"/>
                <w:lang w:val="en-US" w:eastAsia="zh-CN"/>
              </w:rPr>
              <w:t>2021年我院在建文港法庭，位于文港镇，建筑面积1153㎡，内设一个科技法庭；温圳法庭，位于温圳镇，建筑面积1182.96㎡，内设一个科技法庭；李渡法庭，位于李渡镇，建筑面积1146.46㎡，内设一个科技法庭。法庭建设严格按照省高院“双达标”法庭标准建设，使用法庭建设资金支付法庭建设款，实现智慧“法庭”建设目标，提升法庭办案环境。</w:t>
            </w:r>
          </w:p>
        </w:tc>
        <w:tc>
          <w:tcPr>
            <w:tcW w:w="144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宋体" w:eastAsia="黑体" w:cs="宋体"/>
                <w:color w:val="000000"/>
                <w:kern w:val="0"/>
                <w:sz w:val="20"/>
                <w:lang w:val="en-US" w:eastAsia="zh-CN"/>
              </w:rPr>
              <w:t>2021年我院在建文港法庭，位于文港镇，建筑面积1153㎡，内设一个科技法庭；温圳法庭，位于温圳镇，建筑面积1182.96㎡，内设一个科技法庭；李渡法庭，位于李渡镇，建筑面积1146.46㎡，内设一个科技法庭。法庭建设严格按照省高院“双达标”法庭标准建设，使用法庭建设资金支付法庭建设款，实现智慧“法庭”建设目标，提升法庭办案环境。</w:t>
            </w:r>
          </w:p>
        </w:tc>
        <w:tc>
          <w:tcPr>
            <w:tcW w:w="63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20</w:t>
            </w:r>
          </w:p>
        </w:tc>
        <w:tc>
          <w:tcPr>
            <w:tcW w:w="55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20</w:t>
            </w:r>
          </w:p>
        </w:tc>
        <w:tc>
          <w:tcPr>
            <w:tcW w:w="12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4487"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质量指标</w:t>
            </w:r>
          </w:p>
        </w:tc>
        <w:tc>
          <w:tcPr>
            <w:tcW w:w="13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指标1：</w:t>
            </w:r>
          </w:p>
        </w:tc>
        <w:tc>
          <w:tcPr>
            <w:tcW w:w="1725"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after="312" w:line="360" w:lineRule="exact"/>
              <w:jc w:val="center"/>
              <w:textAlignment w:val="auto"/>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完成法庭“双达标”建设</w:t>
            </w:r>
          </w:p>
          <w:p>
            <w:pPr>
              <w:widowControl/>
              <w:spacing w:line="240" w:lineRule="exact"/>
              <w:ind w:left="-63" w:leftChars="-30" w:right="-63" w:rightChars="-30"/>
              <w:jc w:val="center"/>
              <w:rPr>
                <w:rFonts w:hint="eastAsia" w:ascii="黑体" w:hAnsi="黑体" w:eastAsia="黑体" w:cs="黑体"/>
                <w:color w:val="000000"/>
                <w:kern w:val="0"/>
                <w:sz w:val="20"/>
              </w:rPr>
            </w:pPr>
          </w:p>
        </w:tc>
        <w:tc>
          <w:tcPr>
            <w:tcW w:w="144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2021年我院使用法庭建设资金300万支付温圳法庭建设款，温圳法庭主体建筑结构已完成，后续工程进度在有序推进中；我院使用法庭建设资金280万支付李渡法庭工程款，李渡法庭主体建筑结构已完成，后续工程进度在有序推进中。</w:t>
            </w:r>
          </w:p>
          <w:p>
            <w:pPr>
              <w:widowControl/>
              <w:spacing w:line="240" w:lineRule="exact"/>
              <w:ind w:left="-63" w:leftChars="-30" w:right="-63" w:rightChars="-30"/>
              <w:jc w:val="center"/>
              <w:rPr>
                <w:rFonts w:hint="eastAsia" w:ascii="黑体" w:hAnsi="黑体" w:eastAsia="黑体" w:cs="黑体"/>
                <w:color w:val="000000"/>
                <w:kern w:val="0"/>
                <w:sz w:val="20"/>
              </w:rPr>
            </w:pPr>
          </w:p>
        </w:tc>
        <w:tc>
          <w:tcPr>
            <w:tcW w:w="63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15</w:t>
            </w:r>
          </w:p>
        </w:tc>
        <w:tc>
          <w:tcPr>
            <w:tcW w:w="55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11</w:t>
            </w:r>
          </w:p>
        </w:tc>
        <w:tc>
          <w:tcPr>
            <w:tcW w:w="12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宋体" w:eastAsia="黑体" w:cs="宋体"/>
                <w:color w:val="000000"/>
                <w:kern w:val="0"/>
                <w:sz w:val="20"/>
                <w:lang w:val="en-US" w:eastAsia="zh-CN"/>
              </w:rPr>
              <w:t>我院温圳法庭和李渡法庭尚在建设中，依照合同约定按工期支付工程款，已支付部分款项，剩余工程款将按建设推进情况支付。</w:t>
            </w:r>
          </w:p>
        </w:tc>
      </w:tr>
      <w:tr>
        <w:tblPrEx>
          <w:tblCellMar>
            <w:top w:w="0" w:type="dxa"/>
            <w:left w:w="108" w:type="dxa"/>
            <w:bottom w:w="0" w:type="dxa"/>
            <w:right w:w="108" w:type="dxa"/>
          </w:tblCellMar>
        </w:tblPrEx>
        <w:trPr>
          <w:trHeight w:val="887"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时效指标</w:t>
            </w:r>
          </w:p>
        </w:tc>
        <w:tc>
          <w:tcPr>
            <w:tcW w:w="13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指标1：</w:t>
            </w:r>
          </w:p>
        </w:tc>
        <w:tc>
          <w:tcPr>
            <w:tcW w:w="172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eastAsia="zh-CN"/>
              </w:rPr>
              <w:t>及时拨付款项，按时完工</w:t>
            </w:r>
          </w:p>
        </w:tc>
        <w:tc>
          <w:tcPr>
            <w:tcW w:w="144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及时拨付款项，按时完工</w:t>
            </w:r>
          </w:p>
        </w:tc>
        <w:tc>
          <w:tcPr>
            <w:tcW w:w="63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5</w:t>
            </w:r>
          </w:p>
        </w:tc>
        <w:tc>
          <w:tcPr>
            <w:tcW w:w="55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5</w:t>
            </w:r>
          </w:p>
        </w:tc>
        <w:tc>
          <w:tcPr>
            <w:tcW w:w="12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93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成本指标</w:t>
            </w:r>
          </w:p>
          <w:p>
            <w:pPr>
              <w:widowControl/>
              <w:spacing w:line="240" w:lineRule="exact"/>
              <w:ind w:left="-63" w:leftChars="-30" w:right="-63" w:rightChars="-30"/>
              <w:jc w:val="center"/>
              <w:rPr>
                <w:rFonts w:hint="eastAsia" w:ascii="黑体" w:hAnsi="黑体" w:eastAsia="黑体" w:cs="黑体"/>
                <w:color w:val="000000"/>
                <w:kern w:val="0"/>
                <w:sz w:val="20"/>
              </w:rPr>
            </w:pPr>
          </w:p>
          <w:p>
            <w:pPr>
              <w:widowControl/>
              <w:spacing w:line="240" w:lineRule="exact"/>
              <w:ind w:left="-63" w:leftChars="-30" w:right="-63" w:rightChars="-30"/>
              <w:jc w:val="center"/>
              <w:rPr>
                <w:rFonts w:hint="eastAsia" w:ascii="黑体" w:hAnsi="黑体" w:eastAsia="黑体" w:cs="黑体"/>
                <w:color w:val="000000"/>
                <w:kern w:val="0"/>
                <w:sz w:val="20"/>
              </w:rPr>
            </w:pPr>
          </w:p>
        </w:tc>
        <w:tc>
          <w:tcPr>
            <w:tcW w:w="13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指标1：</w:t>
            </w:r>
          </w:p>
        </w:tc>
        <w:tc>
          <w:tcPr>
            <w:tcW w:w="172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eastAsia="zh-CN"/>
              </w:rPr>
              <w:t>在预算范围内执行、按照国家造价标准完成。</w:t>
            </w:r>
          </w:p>
        </w:tc>
        <w:tc>
          <w:tcPr>
            <w:tcW w:w="144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在预算范围内执行、按照国家造价标准完成。</w:t>
            </w:r>
          </w:p>
        </w:tc>
        <w:tc>
          <w:tcPr>
            <w:tcW w:w="63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10</w:t>
            </w:r>
          </w:p>
        </w:tc>
        <w:tc>
          <w:tcPr>
            <w:tcW w:w="55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10</w:t>
            </w:r>
          </w:p>
        </w:tc>
        <w:tc>
          <w:tcPr>
            <w:tcW w:w="12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1487"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效益</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指标</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(30分）</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经济效益</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指标</w:t>
            </w:r>
          </w:p>
        </w:tc>
        <w:tc>
          <w:tcPr>
            <w:tcW w:w="13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指标1：</w:t>
            </w:r>
          </w:p>
        </w:tc>
        <w:tc>
          <w:tcPr>
            <w:tcW w:w="172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eastAsia="zh-CN"/>
              </w:rPr>
              <w:t>法庭办公设备更新，引入电子办公，提高工作效率</w:t>
            </w:r>
          </w:p>
        </w:tc>
        <w:tc>
          <w:tcPr>
            <w:tcW w:w="144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eastAsia="zh-CN"/>
              </w:rPr>
              <w:t>法庭办公设备更新，引入电子办公，提高工作效率</w:t>
            </w:r>
          </w:p>
        </w:tc>
        <w:tc>
          <w:tcPr>
            <w:tcW w:w="63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4</w:t>
            </w:r>
          </w:p>
        </w:tc>
        <w:tc>
          <w:tcPr>
            <w:tcW w:w="55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4</w:t>
            </w:r>
          </w:p>
        </w:tc>
        <w:tc>
          <w:tcPr>
            <w:tcW w:w="12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102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社会效益</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指标</w:t>
            </w:r>
          </w:p>
        </w:tc>
        <w:tc>
          <w:tcPr>
            <w:tcW w:w="13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指标1：</w:t>
            </w:r>
          </w:p>
        </w:tc>
        <w:tc>
          <w:tcPr>
            <w:tcW w:w="172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eastAsia="zh-CN"/>
              </w:rPr>
              <w:t>规范相关办案程序，公开透明办案</w:t>
            </w:r>
          </w:p>
        </w:tc>
        <w:tc>
          <w:tcPr>
            <w:tcW w:w="144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eastAsia="zh-CN"/>
              </w:rPr>
              <w:t>规范相关办案程序，公开透明办案</w:t>
            </w:r>
          </w:p>
        </w:tc>
        <w:tc>
          <w:tcPr>
            <w:tcW w:w="63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10</w:t>
            </w:r>
          </w:p>
        </w:tc>
        <w:tc>
          <w:tcPr>
            <w:tcW w:w="55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10</w:t>
            </w:r>
          </w:p>
        </w:tc>
        <w:tc>
          <w:tcPr>
            <w:tcW w:w="12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117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生态效益</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指标</w:t>
            </w:r>
          </w:p>
        </w:tc>
        <w:tc>
          <w:tcPr>
            <w:tcW w:w="13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指标1：</w:t>
            </w:r>
          </w:p>
        </w:tc>
        <w:tc>
          <w:tcPr>
            <w:tcW w:w="172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eastAsia="zh-CN"/>
              </w:rPr>
              <w:t>提高办案质量，优化政治生态效应</w:t>
            </w:r>
          </w:p>
        </w:tc>
        <w:tc>
          <w:tcPr>
            <w:tcW w:w="144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eastAsia="zh-CN"/>
              </w:rPr>
              <w:t>提高办案质量，优化政治生态效应</w:t>
            </w:r>
          </w:p>
        </w:tc>
        <w:tc>
          <w:tcPr>
            <w:tcW w:w="63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6</w:t>
            </w:r>
          </w:p>
        </w:tc>
        <w:tc>
          <w:tcPr>
            <w:tcW w:w="55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6</w:t>
            </w:r>
          </w:p>
        </w:tc>
        <w:tc>
          <w:tcPr>
            <w:tcW w:w="12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1127"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可持续影响指标</w:t>
            </w:r>
          </w:p>
        </w:tc>
        <w:tc>
          <w:tcPr>
            <w:tcW w:w="13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指标1：</w:t>
            </w:r>
          </w:p>
        </w:tc>
        <w:tc>
          <w:tcPr>
            <w:tcW w:w="172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eastAsia="zh-CN"/>
              </w:rPr>
              <w:t>长期可持续使用</w:t>
            </w:r>
          </w:p>
        </w:tc>
        <w:tc>
          <w:tcPr>
            <w:tcW w:w="144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eastAsia="zh-CN"/>
              </w:rPr>
              <w:t>长期可持续使用</w:t>
            </w:r>
          </w:p>
        </w:tc>
        <w:tc>
          <w:tcPr>
            <w:tcW w:w="63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10</w:t>
            </w:r>
          </w:p>
        </w:tc>
        <w:tc>
          <w:tcPr>
            <w:tcW w:w="55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10</w:t>
            </w:r>
          </w:p>
        </w:tc>
        <w:tc>
          <w:tcPr>
            <w:tcW w:w="12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1547"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tcBorders>
              <w:top w:val="nil"/>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满意度</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指标</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(10分）</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服务对象满意度指标（10分）</w:t>
            </w:r>
          </w:p>
        </w:tc>
        <w:tc>
          <w:tcPr>
            <w:tcW w:w="13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指标1：</w:t>
            </w:r>
          </w:p>
        </w:tc>
        <w:tc>
          <w:tcPr>
            <w:tcW w:w="172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eastAsia="zh-CN"/>
              </w:rPr>
              <w:t>服务对象满意度提高</w:t>
            </w:r>
          </w:p>
        </w:tc>
        <w:tc>
          <w:tcPr>
            <w:tcW w:w="144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eastAsia="zh-CN"/>
              </w:rPr>
              <w:t>服务对象满意度提高</w:t>
            </w:r>
          </w:p>
        </w:tc>
        <w:tc>
          <w:tcPr>
            <w:tcW w:w="63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10</w:t>
            </w:r>
          </w:p>
        </w:tc>
        <w:tc>
          <w:tcPr>
            <w:tcW w:w="55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4"/>
                <w:lang w:val="en-US" w:eastAsia="zh-CN" w:bidi="ar-SA"/>
              </w:rPr>
            </w:pPr>
            <w:r>
              <w:rPr>
                <w:rFonts w:hint="eastAsia" w:ascii="黑体" w:hAnsi="宋体" w:eastAsia="黑体" w:cs="宋体"/>
                <w:color w:val="000000"/>
                <w:kern w:val="0"/>
                <w:sz w:val="20"/>
                <w:lang w:val="en-US" w:eastAsia="zh-CN"/>
              </w:rPr>
              <w:t>10</w:t>
            </w:r>
          </w:p>
        </w:tc>
        <w:tc>
          <w:tcPr>
            <w:tcW w:w="12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302" w:hRule="exact"/>
          <w:jc w:val="center"/>
        </w:trPr>
        <w:tc>
          <w:tcPr>
            <w:tcW w:w="760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总分</w:t>
            </w:r>
          </w:p>
        </w:tc>
        <w:tc>
          <w:tcPr>
            <w:tcW w:w="63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100</w:t>
            </w:r>
          </w:p>
        </w:tc>
        <w:tc>
          <w:tcPr>
            <w:tcW w:w="55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96</w:t>
            </w:r>
          </w:p>
        </w:tc>
        <w:tc>
          <w:tcPr>
            <w:tcW w:w="12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bl>
    <w:p/>
    <w:p>
      <w:pPr>
        <w:pStyle w:val="2"/>
        <w:rPr>
          <w:rFonts w:hint="eastAsia"/>
        </w:rPr>
      </w:pPr>
    </w:p>
    <w:p>
      <w:pPr>
        <w:widowControl/>
        <w:numPr>
          <w:ilvl w:val="0"/>
          <w:numId w:val="3"/>
        </w:numPr>
        <w:spacing w:line="600" w:lineRule="exact"/>
        <w:ind w:firstLine="640"/>
        <w:jc w:val="center"/>
        <w:rPr>
          <w:rFonts w:hint="eastAsia" w:ascii="宋体" w:hAnsi="宋体"/>
          <w:b/>
          <w:sz w:val="32"/>
          <w:szCs w:val="32"/>
        </w:rPr>
      </w:pPr>
      <w:r>
        <w:rPr>
          <w:rFonts w:hint="eastAsia" w:ascii="宋体" w:hAnsi="宋体"/>
          <w:b/>
          <w:sz w:val="32"/>
          <w:szCs w:val="32"/>
        </w:rPr>
        <w:t>名词解释</w:t>
      </w:r>
    </w:p>
    <w:p>
      <w:pPr>
        <w:widowControl/>
        <w:spacing w:line="600" w:lineRule="exact"/>
        <w:rPr>
          <w:rFonts w:hint="eastAsia" w:ascii="宋体" w:hAnsi="宋体"/>
          <w:b/>
          <w:sz w:val="32"/>
          <w:szCs w:val="32"/>
        </w:rPr>
      </w:pPr>
    </w:p>
    <w:p>
      <w:pPr>
        <w:widowControl/>
        <w:numPr>
          <w:ilvl w:val="0"/>
          <w:numId w:val="4"/>
        </w:numPr>
        <w:spacing w:line="600" w:lineRule="exact"/>
        <w:rPr>
          <w:rFonts w:hint="eastAsia" w:ascii="黑体" w:hAnsi="黑体" w:eastAsia="黑体" w:cs="黑体"/>
          <w:b w:val="0"/>
          <w:bCs/>
          <w:sz w:val="30"/>
          <w:szCs w:val="30"/>
        </w:rPr>
      </w:pPr>
      <w:r>
        <w:rPr>
          <w:rFonts w:hint="eastAsia" w:ascii="仿宋" w:hAnsi="仿宋" w:eastAsia="仿宋" w:cs="仿宋_GB2312"/>
          <w:kern w:val="0"/>
          <w:sz w:val="30"/>
          <w:szCs w:val="30"/>
          <w:lang w:val="zh-CN"/>
        </w:rPr>
        <w:t>（</w:t>
      </w:r>
      <w:r>
        <w:rPr>
          <w:rFonts w:hint="eastAsia" w:ascii="黑体" w:hAnsi="黑体" w:eastAsia="黑体" w:cs="黑体"/>
          <w:b w:val="0"/>
          <w:bCs/>
          <w:sz w:val="30"/>
          <w:szCs w:val="30"/>
        </w:rPr>
        <w:t>收入科目解释</w:t>
      </w:r>
    </w:p>
    <w:p>
      <w:pPr>
        <w:widowControl/>
        <w:numPr>
          <w:ilvl w:val="0"/>
          <w:numId w:val="5"/>
        </w:numPr>
        <w:spacing w:line="600" w:lineRule="exact"/>
        <w:ind w:firstLine="588" w:firstLineChars="196"/>
        <w:rPr>
          <w:rFonts w:hint="eastAsia" w:ascii="仿宋" w:hAnsi="仿宋" w:eastAsia="仿宋"/>
          <w:kern w:val="0"/>
          <w:sz w:val="30"/>
          <w:szCs w:val="30"/>
          <w:lang w:val="zh-CN" w:eastAsia="zh-CN"/>
        </w:rPr>
      </w:pPr>
      <w:r>
        <w:rPr>
          <w:rFonts w:hint="eastAsia" w:ascii="仿宋" w:hAnsi="仿宋" w:eastAsia="仿宋"/>
          <w:kern w:val="0"/>
          <w:sz w:val="30"/>
          <w:szCs w:val="30"/>
          <w:lang w:val="zh-CN" w:eastAsia="zh-CN"/>
        </w:rPr>
        <w:t>财政拨款收入：指县级财政当年拨付的资金。</w:t>
      </w:r>
    </w:p>
    <w:p>
      <w:pPr>
        <w:widowControl/>
        <w:spacing w:line="600" w:lineRule="exact"/>
        <w:ind w:firstLine="588" w:firstLineChars="196"/>
        <w:rPr>
          <w:rFonts w:hint="eastAsia" w:ascii="仿宋" w:hAnsi="仿宋" w:eastAsia="仿宋"/>
          <w:kern w:val="0"/>
          <w:sz w:val="30"/>
          <w:szCs w:val="30"/>
        </w:rPr>
      </w:pPr>
      <w:r>
        <w:rPr>
          <w:rFonts w:hint="eastAsia" w:ascii="仿宋" w:hAnsi="仿宋" w:eastAsia="仿宋"/>
          <w:kern w:val="0"/>
          <w:sz w:val="30"/>
          <w:szCs w:val="30"/>
        </w:rPr>
        <w:t>（一）财政拨款收入：指财政当年拨付的资金。</w:t>
      </w:r>
    </w:p>
    <w:p>
      <w:pPr>
        <w:rPr>
          <w:rFonts w:hint="eastAsia" w:ascii="仿宋" w:hAnsi="仿宋" w:eastAsia="仿宋"/>
          <w:kern w:val="0"/>
          <w:sz w:val="30"/>
          <w:szCs w:val="30"/>
        </w:rPr>
      </w:pPr>
      <w:r>
        <w:rPr>
          <w:rFonts w:hint="eastAsia" w:ascii="仿宋" w:hAnsi="仿宋" w:eastAsia="仿宋"/>
          <w:kern w:val="0"/>
          <w:sz w:val="30"/>
          <w:szCs w:val="30"/>
        </w:rPr>
        <w:t xml:space="preserve">    （二）上级补助收入：无</w:t>
      </w:r>
    </w:p>
    <w:p>
      <w:pPr>
        <w:ind w:firstLine="585"/>
        <w:rPr>
          <w:rFonts w:hint="eastAsia" w:ascii="仿宋" w:hAnsi="仿宋" w:eastAsia="仿宋"/>
          <w:kern w:val="0"/>
          <w:sz w:val="30"/>
          <w:szCs w:val="30"/>
        </w:rPr>
      </w:pPr>
      <w:r>
        <w:rPr>
          <w:rFonts w:hint="eastAsia" w:ascii="仿宋" w:hAnsi="仿宋" w:eastAsia="仿宋"/>
          <w:kern w:val="0"/>
          <w:sz w:val="30"/>
          <w:szCs w:val="30"/>
        </w:rPr>
        <w:t>（三）事业收入：无</w:t>
      </w:r>
    </w:p>
    <w:p>
      <w:pPr>
        <w:ind w:firstLine="585"/>
        <w:rPr>
          <w:rFonts w:ascii="仿宋" w:hAnsi="仿宋" w:eastAsia="仿宋"/>
          <w:kern w:val="0"/>
          <w:sz w:val="30"/>
          <w:szCs w:val="30"/>
        </w:rPr>
      </w:pPr>
      <w:r>
        <w:rPr>
          <w:rFonts w:hint="eastAsia" w:ascii="仿宋" w:hAnsi="仿宋" w:eastAsia="仿宋"/>
          <w:kern w:val="0"/>
          <w:sz w:val="30"/>
          <w:szCs w:val="30"/>
        </w:rPr>
        <w:t>（四）其他收入：指除财政拨款、事业收入、事业单位经营收入等以外的各项收入。</w:t>
      </w:r>
    </w:p>
    <w:p>
      <w:pPr>
        <w:ind w:firstLine="585"/>
        <w:rPr>
          <w:rFonts w:hint="eastAsia" w:ascii="仿宋" w:hAnsi="仿宋" w:eastAsia="仿宋"/>
          <w:kern w:val="0"/>
          <w:sz w:val="30"/>
          <w:szCs w:val="30"/>
        </w:rPr>
      </w:pPr>
      <w:r>
        <w:rPr>
          <w:rFonts w:ascii="仿宋" w:hAnsi="仿宋" w:eastAsia="仿宋"/>
          <w:kern w:val="0"/>
          <w:sz w:val="30"/>
          <w:szCs w:val="30"/>
        </w:rPr>
        <w:t>（</w:t>
      </w:r>
      <w:r>
        <w:rPr>
          <w:rFonts w:hint="eastAsia" w:ascii="仿宋" w:hAnsi="仿宋" w:eastAsia="仿宋"/>
          <w:kern w:val="0"/>
          <w:sz w:val="30"/>
          <w:szCs w:val="30"/>
        </w:rPr>
        <w:t>五</w:t>
      </w:r>
      <w:r>
        <w:rPr>
          <w:rFonts w:ascii="仿宋" w:hAnsi="仿宋" w:eastAsia="仿宋"/>
          <w:kern w:val="0"/>
          <w:sz w:val="30"/>
          <w:szCs w:val="30"/>
        </w:rPr>
        <w:t>）</w:t>
      </w:r>
      <w:r>
        <w:rPr>
          <w:rFonts w:hint="eastAsia" w:ascii="仿宋" w:hAnsi="仿宋" w:eastAsia="仿宋"/>
          <w:kern w:val="0"/>
          <w:sz w:val="30"/>
          <w:szCs w:val="30"/>
        </w:rPr>
        <w:t>年初结转结余：填列20</w:t>
      </w:r>
      <w:r>
        <w:rPr>
          <w:rFonts w:hint="eastAsia" w:ascii="仿宋" w:hAnsi="仿宋" w:eastAsia="仿宋"/>
          <w:kern w:val="0"/>
          <w:sz w:val="30"/>
          <w:szCs w:val="30"/>
          <w:lang w:val="en-US" w:eastAsia="zh-CN"/>
        </w:rPr>
        <w:t>20</w:t>
      </w:r>
      <w:r>
        <w:rPr>
          <w:rFonts w:hint="eastAsia" w:ascii="仿宋" w:hAnsi="仿宋" w:eastAsia="仿宋"/>
          <w:kern w:val="0"/>
          <w:sz w:val="30"/>
          <w:szCs w:val="30"/>
        </w:rPr>
        <w:t>年全部结转和结余的资金数，包括当年结转结余资金和历年滚存结转结余资金。</w:t>
      </w:r>
    </w:p>
    <w:p>
      <w:pPr>
        <w:widowControl/>
        <w:numPr>
          <w:ilvl w:val="0"/>
          <w:numId w:val="4"/>
        </w:numPr>
        <w:spacing w:line="600" w:lineRule="exact"/>
        <w:rPr>
          <w:rFonts w:hint="eastAsia" w:ascii="黑体" w:hAnsi="黑体" w:eastAsia="黑体" w:cs="黑体"/>
          <w:b w:val="0"/>
          <w:bCs/>
          <w:sz w:val="30"/>
          <w:szCs w:val="30"/>
        </w:rPr>
      </w:pPr>
      <w:r>
        <w:rPr>
          <w:rFonts w:hint="eastAsia" w:ascii="黑体" w:hAnsi="黑体" w:eastAsia="黑体" w:cs="黑体"/>
          <w:b w:val="0"/>
          <w:bCs/>
          <w:sz w:val="30"/>
          <w:szCs w:val="30"/>
        </w:rPr>
        <w:t>支出科目</w:t>
      </w:r>
    </w:p>
    <w:p>
      <w:pPr>
        <w:widowControl/>
        <w:spacing w:line="600" w:lineRule="exact"/>
        <w:ind w:firstLine="588" w:firstLineChars="196"/>
        <w:rPr>
          <w:rFonts w:hint="eastAsia" w:ascii="仿宋" w:hAnsi="仿宋" w:eastAsia="仿宋"/>
          <w:kern w:val="0"/>
          <w:sz w:val="30"/>
          <w:szCs w:val="30"/>
          <w:lang w:val="zh-CN" w:eastAsia="zh-CN"/>
        </w:rPr>
      </w:pPr>
      <w:r>
        <w:rPr>
          <w:rFonts w:hint="eastAsia" w:ascii="仿宋" w:hAnsi="仿宋" w:eastAsia="仿宋"/>
          <w:kern w:val="0"/>
          <w:sz w:val="30"/>
          <w:szCs w:val="30"/>
          <w:lang w:val="zh-CN" w:eastAsia="zh-CN"/>
        </w:rPr>
        <w:t>1、行政运行：反映行政单位(包括实行公务员管理的事业单位)的基本支出。</w:t>
      </w:r>
    </w:p>
    <w:p>
      <w:pPr>
        <w:widowControl/>
        <w:spacing w:line="600" w:lineRule="exact"/>
        <w:ind w:firstLine="588" w:firstLineChars="196"/>
        <w:rPr>
          <w:rFonts w:hint="eastAsia" w:ascii="仿宋" w:hAnsi="仿宋" w:eastAsia="仿宋"/>
          <w:kern w:val="0"/>
          <w:sz w:val="30"/>
          <w:szCs w:val="30"/>
          <w:lang w:val="zh-CN" w:eastAsia="zh-CN"/>
        </w:rPr>
      </w:pPr>
      <w:r>
        <w:rPr>
          <w:rFonts w:hint="eastAsia" w:ascii="仿宋" w:hAnsi="仿宋" w:eastAsia="仿宋"/>
          <w:kern w:val="0"/>
          <w:sz w:val="30"/>
          <w:szCs w:val="30"/>
          <w:lang w:val="zh-CN" w:eastAsia="zh-CN"/>
        </w:rPr>
        <w:t>2、一般行政管理事务：反映行政单位(包括实行公务员管理的事业单位)未单独设置项级科目的其他项目支出。</w:t>
      </w:r>
    </w:p>
    <w:p>
      <w:pPr>
        <w:widowControl/>
        <w:spacing w:line="600" w:lineRule="exact"/>
        <w:ind w:firstLine="588" w:firstLineChars="196"/>
        <w:rPr>
          <w:rFonts w:hint="eastAsia" w:ascii="仿宋" w:hAnsi="仿宋" w:eastAsia="仿宋"/>
          <w:kern w:val="0"/>
          <w:sz w:val="30"/>
          <w:szCs w:val="30"/>
          <w:lang w:val="zh-CN" w:eastAsia="zh-CN"/>
        </w:rPr>
      </w:pPr>
      <w:r>
        <w:rPr>
          <w:rFonts w:hint="eastAsia" w:ascii="仿宋" w:hAnsi="仿宋" w:eastAsia="仿宋"/>
          <w:kern w:val="0"/>
          <w:sz w:val="30"/>
          <w:szCs w:val="30"/>
          <w:lang w:val="en-US" w:eastAsia="zh-CN"/>
        </w:rPr>
        <w:t>3、</w:t>
      </w:r>
      <w:r>
        <w:rPr>
          <w:rFonts w:hint="eastAsia" w:ascii="仿宋" w:hAnsi="仿宋" w:eastAsia="仿宋"/>
          <w:kern w:val="0"/>
          <w:sz w:val="30"/>
          <w:szCs w:val="30"/>
          <w:lang w:val="zh-CN" w:eastAsia="zh-CN"/>
        </w:rPr>
        <w:t>案件审判：反映人民法院对刑事、民事、行政、涉外等案件审判活动的支出。</w:t>
      </w:r>
    </w:p>
    <w:p>
      <w:pPr>
        <w:widowControl/>
        <w:spacing w:line="600" w:lineRule="exact"/>
        <w:ind w:firstLine="588" w:firstLineChars="196"/>
        <w:rPr>
          <w:rFonts w:hint="eastAsia" w:ascii="仿宋" w:hAnsi="仿宋" w:eastAsia="仿宋"/>
          <w:kern w:val="0"/>
          <w:sz w:val="30"/>
          <w:szCs w:val="30"/>
          <w:lang w:val="zh-CN" w:eastAsia="zh-CN"/>
        </w:rPr>
      </w:pPr>
      <w:r>
        <w:rPr>
          <w:rFonts w:hint="eastAsia" w:ascii="仿宋" w:hAnsi="仿宋" w:eastAsia="仿宋"/>
          <w:kern w:val="0"/>
          <w:sz w:val="30"/>
          <w:szCs w:val="30"/>
          <w:lang w:val="en-US" w:eastAsia="zh-CN"/>
        </w:rPr>
        <w:t>4、</w:t>
      </w:r>
      <w:r>
        <w:rPr>
          <w:rFonts w:hint="eastAsia" w:ascii="仿宋" w:hAnsi="仿宋" w:eastAsia="仿宋"/>
          <w:kern w:val="0"/>
          <w:sz w:val="30"/>
          <w:szCs w:val="30"/>
          <w:lang w:val="zh-CN" w:eastAsia="zh-CN"/>
        </w:rPr>
        <w:t>其他法院支出：反映司法行政事务支出。监狱和劳教方面的支出不在此科目反映。</w:t>
      </w:r>
    </w:p>
    <w:p>
      <w:pPr>
        <w:widowControl/>
        <w:spacing w:line="600" w:lineRule="exact"/>
        <w:ind w:firstLine="588" w:firstLineChars="196"/>
        <w:rPr>
          <w:rFonts w:hint="eastAsia" w:ascii="仿宋" w:hAnsi="仿宋" w:eastAsia="仿宋"/>
          <w:kern w:val="0"/>
          <w:sz w:val="30"/>
          <w:szCs w:val="30"/>
          <w:lang w:val="zh-CN" w:eastAsia="zh-CN"/>
        </w:rPr>
      </w:pPr>
      <w:r>
        <w:rPr>
          <w:rFonts w:hint="eastAsia" w:ascii="仿宋" w:hAnsi="仿宋" w:eastAsia="仿宋"/>
          <w:kern w:val="0"/>
          <w:sz w:val="30"/>
          <w:szCs w:val="30"/>
          <w:lang w:val="en-US" w:eastAsia="zh-CN"/>
        </w:rPr>
        <w:t>5、</w:t>
      </w:r>
      <w:r>
        <w:rPr>
          <w:rFonts w:hint="eastAsia" w:ascii="仿宋" w:hAnsi="仿宋" w:eastAsia="仿宋"/>
          <w:kern w:val="0"/>
          <w:sz w:val="30"/>
          <w:szCs w:val="30"/>
          <w:lang w:val="zh-CN" w:eastAsia="zh-CN"/>
        </w:rPr>
        <w:t>机关事业单位基本养老保险缴费支出：反映机关事业单位实施养老保险制度由单位缴纳的基本养老保险费支出。</w:t>
      </w:r>
    </w:p>
    <w:p>
      <w:pPr>
        <w:widowControl/>
        <w:spacing w:line="600" w:lineRule="exact"/>
        <w:ind w:firstLine="588" w:firstLineChars="196"/>
        <w:rPr>
          <w:rFonts w:hint="eastAsia" w:ascii="仿宋" w:hAnsi="仿宋" w:eastAsia="仿宋"/>
          <w:kern w:val="0"/>
          <w:sz w:val="30"/>
          <w:szCs w:val="30"/>
          <w:lang w:val="zh-CN" w:eastAsia="zh-CN"/>
        </w:rPr>
      </w:pPr>
      <w:r>
        <w:rPr>
          <w:rFonts w:hint="eastAsia" w:ascii="仿宋" w:hAnsi="仿宋" w:eastAsia="仿宋"/>
          <w:kern w:val="0"/>
          <w:sz w:val="30"/>
          <w:szCs w:val="30"/>
          <w:lang w:val="en-US" w:eastAsia="zh-CN"/>
        </w:rPr>
        <w:t>6、</w:t>
      </w:r>
      <w:r>
        <w:rPr>
          <w:rFonts w:hint="eastAsia" w:ascii="仿宋" w:hAnsi="仿宋" w:eastAsia="仿宋"/>
          <w:kern w:val="0"/>
          <w:sz w:val="30"/>
          <w:szCs w:val="30"/>
          <w:lang w:val="zh-CN" w:eastAsia="zh-CN"/>
        </w:rPr>
        <w:t>住房公积金：反映行政事业单位按人力资源和社会保障部、 财政部规定的基本工资和津补贴以及规定比例为职工缴纳的住房公积金。</w:t>
      </w:r>
    </w:p>
    <w:p>
      <w:pPr>
        <w:ind w:left="600"/>
        <w:rPr>
          <w:rFonts w:hint="eastAsia" w:ascii="仿宋" w:hAnsi="仿宋" w:eastAsia="仿宋"/>
          <w:kern w:val="0"/>
          <w:sz w:val="30"/>
          <w:szCs w:val="30"/>
          <w:lang w:val="en-US" w:eastAsia="zh-CN"/>
        </w:rPr>
      </w:pPr>
      <w:r>
        <w:rPr>
          <w:rFonts w:hint="eastAsia" w:ascii="黑体" w:hAnsi="黑体" w:eastAsia="黑体" w:cs="黑体"/>
          <w:kern w:val="0"/>
          <w:sz w:val="30"/>
          <w:szCs w:val="30"/>
        </w:rPr>
        <w:t>三、三公经费</w:t>
      </w:r>
    </w:p>
    <w:p>
      <w:pPr>
        <w:widowControl/>
        <w:spacing w:line="600" w:lineRule="exact"/>
        <w:ind w:firstLine="588" w:firstLineChars="196"/>
        <w:rPr>
          <w:rFonts w:hint="eastAsia" w:ascii="仿宋" w:hAnsi="仿宋" w:eastAsia="仿宋"/>
          <w:kern w:val="0"/>
          <w:sz w:val="30"/>
          <w:szCs w:val="30"/>
          <w:lang w:val="zh-CN" w:eastAsia="zh-CN"/>
        </w:rPr>
      </w:pPr>
      <w:r>
        <w:rPr>
          <w:rFonts w:hint="eastAsia" w:ascii="仿宋" w:hAnsi="仿宋" w:eastAsia="仿宋"/>
          <w:kern w:val="0"/>
          <w:sz w:val="30"/>
          <w:szCs w:val="30"/>
          <w:lang w:val="zh-CN" w:eastAsia="zh-CN"/>
        </w:rPr>
        <w:t>“三公经费”：反映财政拨款安排的因公出国（境）费、公务 用车购置及运行费和公务接待费。其中，因公出国（境）费反映单位公务 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widowControl/>
        <w:spacing w:line="600" w:lineRule="exact"/>
        <w:ind w:firstLine="588" w:firstLineChars="196"/>
        <w:rPr>
          <w:rFonts w:hint="eastAsia" w:ascii="仿宋" w:hAnsi="仿宋" w:eastAsia="仿宋"/>
          <w:kern w:val="0"/>
          <w:sz w:val="30"/>
          <w:szCs w:val="30"/>
          <w:lang w:val="en-US" w:eastAsia="zh-CN"/>
        </w:rPr>
      </w:pPr>
      <w:r>
        <w:rPr>
          <w:rFonts w:hint="eastAsia" w:ascii="黑体" w:hAnsi="黑体" w:eastAsia="黑体" w:cs="黑体"/>
          <w:kern w:val="0"/>
          <w:sz w:val="30"/>
          <w:szCs w:val="30"/>
        </w:rPr>
        <w:t>四、机关运行经费</w:t>
      </w:r>
    </w:p>
    <w:p>
      <w:pPr>
        <w:widowControl/>
        <w:spacing w:line="600" w:lineRule="exact"/>
        <w:ind w:firstLine="588" w:firstLineChars="196"/>
        <w:rPr>
          <w:rFonts w:hint="eastAsia" w:ascii="仿宋" w:hAnsi="仿宋" w:eastAsia="仿宋"/>
          <w:kern w:val="0"/>
          <w:sz w:val="30"/>
          <w:szCs w:val="30"/>
          <w:lang w:val="zh-CN" w:eastAsia="zh-CN"/>
        </w:rPr>
      </w:pPr>
      <w:r>
        <w:rPr>
          <w:rFonts w:hint="eastAsia" w:ascii="仿宋" w:hAnsi="仿宋" w:eastAsia="仿宋"/>
          <w:kern w:val="0"/>
          <w:sz w:val="30"/>
          <w:szCs w:val="30"/>
          <w:lang w:val="zh-CN" w:eastAsia="zh-CN"/>
        </w:rPr>
        <w:t>机关运行经费：为保障行政单位（含参照公务员法管理的事 业单位）运行用于购买货物和服务的各项资金，包括办公费、印刷费、邮电费、差旅费、会议费、培训费、福利费、日常维修费、专用材料及一般设备购置费、办公用房物业管理费、办公用房水电费、办公用房取暖费及其他费用。</w:t>
      </w:r>
    </w:p>
    <w:p>
      <w:pPr>
        <w:ind w:firstLine="600" w:firstLineChars="200"/>
        <w:rPr>
          <w:rFonts w:hint="eastAsia" w:ascii="黑体" w:hAnsi="黑体" w:eastAsia="黑体" w:cs="黑体"/>
          <w:kern w:val="0"/>
          <w:sz w:val="30"/>
          <w:szCs w:val="30"/>
        </w:rPr>
      </w:pPr>
      <w:r>
        <w:rPr>
          <w:rFonts w:hint="eastAsia" w:ascii="黑体" w:hAnsi="黑体" w:eastAsia="黑体" w:cs="黑体"/>
          <w:kern w:val="0"/>
          <w:sz w:val="30"/>
          <w:szCs w:val="30"/>
        </w:rPr>
        <w:t>五、年末结转结余</w:t>
      </w:r>
    </w:p>
    <w:p>
      <w:pPr>
        <w:widowControl/>
        <w:spacing w:line="600" w:lineRule="exact"/>
        <w:ind w:firstLine="588" w:firstLineChars="196"/>
        <w:rPr>
          <w:rFonts w:hint="eastAsia" w:ascii="仿宋" w:hAnsi="仿宋" w:eastAsia="仿宋"/>
          <w:kern w:val="0"/>
          <w:sz w:val="30"/>
          <w:szCs w:val="30"/>
        </w:rPr>
      </w:pPr>
      <w:r>
        <w:rPr>
          <w:rFonts w:hint="eastAsia" w:ascii="仿宋" w:hAnsi="仿宋" w:eastAsia="仿宋"/>
          <w:kern w:val="0"/>
          <w:sz w:val="30"/>
          <w:szCs w:val="30"/>
        </w:rPr>
        <w:t>填列202</w:t>
      </w:r>
      <w:r>
        <w:rPr>
          <w:rFonts w:hint="eastAsia" w:ascii="仿宋" w:hAnsi="仿宋" w:eastAsia="仿宋"/>
          <w:kern w:val="0"/>
          <w:sz w:val="30"/>
          <w:szCs w:val="30"/>
          <w:lang w:val="en-US" w:eastAsia="zh-CN"/>
        </w:rPr>
        <w:t>1</w:t>
      </w:r>
      <w:r>
        <w:rPr>
          <w:rFonts w:hint="eastAsia" w:ascii="仿宋" w:hAnsi="仿宋" w:eastAsia="仿宋"/>
          <w:kern w:val="0"/>
          <w:sz w:val="30"/>
          <w:szCs w:val="30"/>
        </w:rPr>
        <w:t>年全部结转和结余的资金数，包括当年结转结余资金和历年滚存结转结余资金。</w:t>
      </w:r>
    </w:p>
    <w:p>
      <w:pPr>
        <w:widowControl/>
        <w:spacing w:line="600" w:lineRule="exact"/>
        <w:ind w:firstLine="640"/>
        <w:jc w:val="center"/>
        <w:rPr>
          <w:rFonts w:hint="eastAsia" w:ascii="宋体" w:hAnsi="宋体"/>
          <w:b/>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1FC88"/>
    <w:multiLevelType w:val="singleLevel"/>
    <w:tmpl w:val="9F61FC88"/>
    <w:lvl w:ilvl="0" w:tentative="0">
      <w:start w:val="3"/>
      <w:numFmt w:val="chineseCounting"/>
      <w:suff w:val="space"/>
      <w:lvlText w:val="第%1部分"/>
      <w:lvlJc w:val="left"/>
      <w:rPr>
        <w:rFonts w:hint="eastAsia"/>
      </w:rPr>
    </w:lvl>
  </w:abstractNum>
  <w:abstractNum w:abstractNumId="1">
    <w:nsid w:val="CEF1AB64"/>
    <w:multiLevelType w:val="singleLevel"/>
    <w:tmpl w:val="CEF1AB64"/>
    <w:lvl w:ilvl="0" w:tentative="0">
      <w:start w:val="8"/>
      <w:numFmt w:val="chineseCounting"/>
      <w:suff w:val="nothing"/>
      <w:lvlText w:val="%1、"/>
      <w:lvlJc w:val="left"/>
      <w:pPr>
        <w:ind w:left="1280" w:firstLine="0"/>
      </w:pPr>
      <w:rPr>
        <w:rFonts w:hint="eastAsia"/>
      </w:rPr>
    </w:lvl>
  </w:abstractNum>
  <w:abstractNum w:abstractNumId="2">
    <w:nsid w:val="E4ADD944"/>
    <w:multiLevelType w:val="singleLevel"/>
    <w:tmpl w:val="E4ADD944"/>
    <w:lvl w:ilvl="0" w:tentative="0">
      <w:start w:val="1"/>
      <w:numFmt w:val="chineseCounting"/>
      <w:suff w:val="nothing"/>
      <w:lvlText w:val="（%1）"/>
      <w:lvlJc w:val="left"/>
      <w:rPr>
        <w:rFonts w:hint="eastAsia"/>
      </w:rPr>
    </w:lvl>
  </w:abstractNum>
  <w:abstractNum w:abstractNumId="3">
    <w:nsid w:val="FAE4D4EF"/>
    <w:multiLevelType w:val="singleLevel"/>
    <w:tmpl w:val="FAE4D4EF"/>
    <w:lvl w:ilvl="0" w:tentative="0">
      <w:start w:val="3"/>
      <w:numFmt w:val="chineseCounting"/>
      <w:suff w:val="nothing"/>
      <w:lvlText w:val="%1、"/>
      <w:lvlJc w:val="left"/>
      <w:rPr>
        <w:rFonts w:hint="eastAsia"/>
      </w:rPr>
    </w:lvl>
  </w:abstractNum>
  <w:abstractNum w:abstractNumId="4">
    <w:nsid w:val="06105430"/>
    <w:multiLevelType w:val="multilevel"/>
    <w:tmpl w:val="06105430"/>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1ZGM2YWFlMjhjODRjMjc2MDgzNTg2MzI5NTVhYzQifQ=="/>
  </w:docVars>
  <w:rsids>
    <w:rsidRoot w:val="188C1298"/>
    <w:rsid w:val="188C1298"/>
    <w:rsid w:val="1BF60959"/>
    <w:rsid w:val="25B20E62"/>
    <w:rsid w:val="2D7E5A35"/>
    <w:rsid w:val="49C33FF5"/>
    <w:rsid w:val="4F752D67"/>
    <w:rsid w:val="51F03D00"/>
    <w:rsid w:val="73F95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Calibri" w:hAnsi="Calibri" w:eastAsia="宋体" w:cs="Times New Roman"/>
    </w:rPr>
  </w:style>
  <w:style w:type="paragraph" w:styleId="3">
    <w:name w:val="Body Text Indent"/>
    <w:basedOn w:val="1"/>
    <w:next w:val="1"/>
    <w:qFormat/>
    <w:uiPriority w:val="0"/>
    <w:pPr>
      <w:adjustRightInd w:val="0"/>
      <w:snapToGrid w:val="0"/>
      <w:spacing w:line="560" w:lineRule="atLeast"/>
      <w:ind w:firstLine="640" w:firstLineChars="200"/>
    </w:pPr>
    <w:rPr>
      <w:kern w:val="0"/>
      <w:szCs w:val="28"/>
    </w:rPr>
  </w:style>
  <w:style w:type="paragraph" w:styleId="4">
    <w:name w:val="Body Text First Indent"/>
    <w:basedOn w:val="1"/>
    <w:qFormat/>
    <w:uiPriority w:val="0"/>
    <w:pPr>
      <w:ind w:leftChars="100" w:firstLine="420" w:firstLineChars="100"/>
    </w:pPr>
    <w:rPr>
      <w:rFonts w:ascii="Times New Roman" w:hAnsi="Times New Roman" w:eastAsia="宋体" w:cs="Times New Roman"/>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4893</Words>
  <Characters>5440</Characters>
  <Lines>0</Lines>
  <Paragraphs>0</Paragraphs>
  <TotalTime>10</TotalTime>
  <ScaleCrop>false</ScaleCrop>
  <LinksUpToDate>false</LinksUpToDate>
  <CharactersWithSpaces>5552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2022-10-18T03:42:00Z</dcterms:created>
  <dc:creator>Administrator</dc:creator>
  <cp:lastModifiedBy>Administrator</cp:lastModifiedBy>
  <dcterms:modified xsi:type="dcterms:W3CDTF">2022-10-18T04:39:57Z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2C1145349755424E85A16E782BB79976</vt:lpwstr>
  </property>
</Properties>
</file>