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方正小标宋简体" w:hAnsi="黑体" w:eastAsia="方正小标宋简体"/>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b w:val="0"/>
          <w:bCs/>
          <w:sz w:val="44"/>
          <w:szCs w:val="44"/>
          <w:lang w:val="en-US" w:eastAsia="zh-CN"/>
        </w:rPr>
      </w:pPr>
      <w:r>
        <w:rPr>
          <w:rFonts w:hint="eastAsia" w:asciiTheme="minorEastAsia" w:hAnsiTheme="minorEastAsia" w:eastAsiaTheme="minorEastAsia" w:cstheme="minorEastAsia"/>
          <w:b w:val="0"/>
          <w:bCs/>
          <w:sz w:val="44"/>
          <w:szCs w:val="44"/>
        </w:rPr>
        <w:t>进贤县202</w:t>
      </w:r>
      <w:r>
        <w:rPr>
          <w:rFonts w:hint="eastAsia" w:asciiTheme="minorEastAsia" w:hAnsiTheme="minorEastAsia" w:eastAsiaTheme="minorEastAsia" w:cstheme="minorEastAsia"/>
          <w:b w:val="0"/>
          <w:bCs/>
          <w:sz w:val="44"/>
          <w:szCs w:val="44"/>
          <w:lang w:val="en-US" w:eastAsia="zh-CN"/>
        </w:rPr>
        <w:t>1</w:t>
      </w:r>
      <w:r>
        <w:rPr>
          <w:rFonts w:hint="eastAsia" w:asciiTheme="minorEastAsia" w:hAnsiTheme="minorEastAsia" w:eastAsiaTheme="minorEastAsia" w:cstheme="minorEastAsia"/>
          <w:b w:val="0"/>
          <w:bCs/>
          <w:sz w:val="44"/>
          <w:szCs w:val="44"/>
        </w:rPr>
        <w:t>年引进高层次人才</w:t>
      </w:r>
      <w:r>
        <w:rPr>
          <w:rFonts w:hint="eastAsia" w:asciiTheme="minorEastAsia" w:hAnsiTheme="minorEastAsia" w:eastAsiaTheme="minorEastAsia" w:cstheme="minorEastAsia"/>
          <w:b w:val="0"/>
          <w:bCs/>
          <w:sz w:val="44"/>
          <w:szCs w:val="44"/>
          <w:lang w:val="en-US" w:eastAsia="zh-CN"/>
        </w:rPr>
        <w:t>招聘公告</w:t>
      </w:r>
    </w:p>
    <w:p>
      <w:pPr>
        <w:keepNext w:val="0"/>
        <w:keepLines w:val="0"/>
        <w:pageBreakBefore w:val="0"/>
        <w:widowControl/>
        <w:suppressLineNumbers w:val="0"/>
        <w:kinsoku/>
        <w:wordWrap/>
        <w:overflowPunct/>
        <w:topLinePunct w:val="0"/>
        <w:autoSpaceDE/>
        <w:bidi w:val="0"/>
        <w:spacing w:line="240" w:lineRule="auto"/>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为切实加强全县高中教师队伍建设，适应新高考教育教学要求，保障实施高中阶段教育普及攻坚计划，有效消除高中教育学校大班额，整体提升全县教育能力和水平，结合高中教育工作实际，决定引进相关学科高中教学高层次人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一、引进计划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全县4所公办高中学校引进高层次人才50名，具体岗位及人数详见《进贤县2021年引进高层次人才计划表》（附件1）。</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二、引进条件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（一）基本条件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1.具有中华人民共和国国籍，年满18周岁；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2.遵守中华人民共和国宪法和法律；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3.忠诚党的教育方针，恪守师德，教书育人；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4.具备岗位所需的任职资格、职业（执业）资格及技能条件；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5.工作责任心、事业心强，能保守工作秘密，服从组织安排，自愿从事该岗位工作；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6.具有适应岗位要求的身体素质和心理素质。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（二）具体条件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1.学历及学位：全日制硕士研究生及以上。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2.年龄：引进人才的年龄必须在45周岁以下（1976年10月 1日及以后出生）。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3.资格证书：具有高中相应学科的教师资格证书。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4.非应届毕业生应有高中教学工作经验。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（三）具有下列情形之一的，不得参加报名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1.涉嫌违纪违法正在接受审查尚未得出结论的；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2.因违法犯罪以及因受到党纪、政务处分仍在影响期的；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3.因在公务员招录、事业单位公开招聘等各级各类考试中被认定有舞弊等严重违反招聘纪律行为的；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4.被开除党籍、公职的；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5.因纳入失信被执行人且仍未处理到位的；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6.违反社会公德、职业道德，造成不良影响的；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7.本县正式在编人员及试用期还未入编人员不能报考；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lang w:val="en-US" w:eastAsia="zh-CN"/>
        </w:rPr>
      </w:pPr>
      <w:r>
        <w:rPr>
          <w:rFonts w:hint="eastAsia" w:ascii="仿宋_GB2312" w:hAnsi="仿宋" w:eastAsia="仿宋_GB2312" w:cs="Times New Roman"/>
          <w:kern w:val="2"/>
          <w:sz w:val="32"/>
          <w:szCs w:val="32"/>
          <w:lang w:val="en-US" w:eastAsia="zh-CN" w:bidi="ar"/>
        </w:rPr>
        <w:t>8.其他原因不适宜报考的。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bCs/>
          <w:sz w:val="32"/>
          <w:szCs w:val="32"/>
          <w:lang w:val="en-US" w:eastAsia="zh-CN"/>
        </w:rPr>
      </w:pPr>
      <w:r>
        <w:rPr>
          <w:rFonts w:hint="eastAsia" w:ascii="黑体" w:hAnsi="黑体" w:eastAsia="黑体" w:cs="黑体"/>
          <w:b w:val="0"/>
          <w:bCs w:val="0"/>
          <w:sz w:val="32"/>
          <w:szCs w:val="32"/>
          <w:lang w:val="en-US" w:eastAsia="zh-CN"/>
        </w:rPr>
        <w:t>三、引进程序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 w:eastAsia="仿宋_GB2312" w:cs="Times New Roman"/>
          <w:b w:val="0"/>
          <w:bCs w:val="0"/>
          <w:spacing w:val="0"/>
          <w:kern w:val="2"/>
          <w:sz w:val="32"/>
          <w:szCs w:val="32"/>
          <w:lang w:val="en-US" w:eastAsia="zh-CN" w:bidi="ar"/>
        </w:rPr>
      </w:pPr>
      <w:r>
        <w:rPr>
          <w:rFonts w:hint="eastAsia" w:ascii="仿宋_GB2312" w:hAnsi="仿宋" w:eastAsia="仿宋_GB2312" w:cs="Times New Roman"/>
          <w:kern w:val="2"/>
          <w:sz w:val="32"/>
          <w:szCs w:val="32"/>
          <w:lang w:val="en-US" w:eastAsia="zh-CN" w:bidi="ar"/>
        </w:rPr>
        <w:t>（一）网上报名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 w:eastAsia="仿宋_GB2312" w:cs="Times New Roman"/>
          <w:b w:val="0"/>
          <w:bCs w:val="0"/>
          <w:spacing w:val="0"/>
          <w:kern w:val="2"/>
          <w:sz w:val="32"/>
          <w:szCs w:val="32"/>
          <w:lang w:val="en-US" w:eastAsia="zh-CN" w:bidi="ar"/>
        </w:rPr>
      </w:pPr>
      <w:r>
        <w:rPr>
          <w:rFonts w:hint="eastAsia" w:ascii="仿宋_GB2312" w:hAnsi="仿宋" w:eastAsia="仿宋_GB2312" w:cs="Times New Roman"/>
          <w:kern w:val="2"/>
          <w:sz w:val="32"/>
          <w:szCs w:val="32"/>
          <w:lang w:val="en-US" w:eastAsia="zh-CN" w:bidi="ar"/>
        </w:rPr>
        <w:t>1.</w:t>
      </w:r>
      <w:r>
        <w:rPr>
          <w:rFonts w:hint="eastAsia" w:ascii="仿宋_GB2312" w:hAnsi="仿宋" w:eastAsia="仿宋_GB2312" w:cs="Times New Roman"/>
          <w:b w:val="0"/>
          <w:bCs w:val="0"/>
          <w:spacing w:val="0"/>
          <w:kern w:val="2"/>
          <w:sz w:val="32"/>
          <w:szCs w:val="32"/>
          <w:lang w:val="en-US" w:eastAsia="zh-CN" w:bidi="ar"/>
        </w:rPr>
        <w:t>报名时间：2021年10月14日—2021年10月28日17:00止。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b w:val="0"/>
          <w:bCs w:val="0"/>
          <w:spacing w:val="0"/>
          <w:kern w:val="2"/>
          <w:sz w:val="32"/>
          <w:szCs w:val="32"/>
          <w:lang w:val="en-US" w:eastAsia="zh-CN" w:bidi="ar"/>
        </w:rPr>
        <w:t>2.本次招</w:t>
      </w:r>
      <w:r>
        <w:rPr>
          <w:rFonts w:hint="eastAsia" w:ascii="仿宋_GB2312" w:hAnsi="仿宋_GB2312" w:eastAsia="仿宋_GB2312" w:cs="仿宋_GB2312"/>
          <w:b w:val="0"/>
          <w:i w:val="0"/>
          <w:caps w:val="0"/>
          <w:spacing w:val="0"/>
          <w:w w:val="100"/>
          <w:sz w:val="32"/>
          <w:szCs w:val="32"/>
          <w:lang w:val="en-US" w:eastAsia="zh-CN"/>
        </w:rPr>
        <w:t>聘实行诚信报名制度，</w:t>
      </w:r>
      <w:r>
        <w:rPr>
          <w:rFonts w:hint="eastAsia" w:ascii="仿宋_GB2312" w:hAnsi="仿宋" w:eastAsia="仿宋_GB2312" w:cs="Times New Roman"/>
          <w:kern w:val="2"/>
          <w:sz w:val="32"/>
          <w:szCs w:val="32"/>
          <w:lang w:val="en-US" w:eastAsia="zh-CN" w:bidi="ar"/>
        </w:rPr>
        <w:t>网上不进行资格审查。考生登录江西人才服务网（www.jxrcfw.com）</w:t>
      </w:r>
      <w:r>
        <w:rPr>
          <w:rFonts w:hint="eastAsia" w:ascii="仿宋_GB2312" w:hAnsi="仿宋" w:eastAsia="仿宋_GB2312" w:cs="Times New Roman"/>
          <w:color w:val="FF0000"/>
          <w:kern w:val="2"/>
          <w:sz w:val="32"/>
          <w:szCs w:val="32"/>
          <w:lang w:val="en-US" w:eastAsia="zh-CN" w:bidi="ar"/>
        </w:rPr>
        <w:t>进入“</w:t>
      </w:r>
      <w:r>
        <w:rPr>
          <w:rFonts w:hint="eastAsia" w:ascii="仿宋" w:hAnsi="仿宋" w:eastAsia="仿宋" w:cs="仿宋"/>
          <w:b w:val="0"/>
          <w:bCs/>
          <w:color w:val="FF0000"/>
          <w:sz w:val="32"/>
          <w:szCs w:val="32"/>
        </w:rPr>
        <w:t>进贤县202</w:t>
      </w:r>
      <w:r>
        <w:rPr>
          <w:rFonts w:hint="eastAsia" w:ascii="仿宋" w:hAnsi="仿宋" w:eastAsia="仿宋" w:cs="仿宋"/>
          <w:b w:val="0"/>
          <w:bCs/>
          <w:color w:val="FF0000"/>
          <w:sz w:val="32"/>
          <w:szCs w:val="32"/>
          <w:lang w:val="en-US" w:eastAsia="zh-CN"/>
        </w:rPr>
        <w:t>1</w:t>
      </w:r>
      <w:r>
        <w:rPr>
          <w:rFonts w:hint="eastAsia" w:ascii="仿宋" w:hAnsi="仿宋" w:eastAsia="仿宋" w:cs="仿宋"/>
          <w:b w:val="0"/>
          <w:bCs/>
          <w:color w:val="FF0000"/>
          <w:sz w:val="32"/>
          <w:szCs w:val="32"/>
        </w:rPr>
        <w:t>年引进高层次人才</w:t>
      </w:r>
      <w:r>
        <w:rPr>
          <w:rFonts w:hint="eastAsia" w:ascii="仿宋" w:hAnsi="仿宋" w:eastAsia="仿宋" w:cs="仿宋"/>
          <w:b w:val="0"/>
          <w:bCs/>
          <w:color w:val="FF0000"/>
          <w:sz w:val="32"/>
          <w:szCs w:val="32"/>
          <w:lang w:val="en-US" w:eastAsia="zh-CN"/>
        </w:rPr>
        <w:t>招聘</w:t>
      </w:r>
      <w:r>
        <w:rPr>
          <w:rFonts w:hint="eastAsia" w:ascii="仿宋_GB2312" w:hAnsi="仿宋" w:eastAsia="仿宋_GB2312" w:cs="Times New Roman"/>
          <w:color w:val="FF0000"/>
          <w:kern w:val="2"/>
          <w:sz w:val="32"/>
          <w:szCs w:val="32"/>
          <w:lang w:val="en-US" w:eastAsia="zh-CN" w:bidi="ar"/>
        </w:rPr>
        <w:t>”</w:t>
      </w:r>
      <w:r>
        <w:rPr>
          <w:rFonts w:hint="eastAsia" w:ascii="仿宋_GB2312" w:hAnsi="仿宋" w:eastAsia="仿宋_GB2312" w:cs="Times New Roman"/>
          <w:kern w:val="2"/>
          <w:sz w:val="32"/>
          <w:szCs w:val="32"/>
          <w:lang w:val="en-US" w:eastAsia="zh-CN" w:bidi="ar"/>
        </w:rPr>
        <w:t>考试报名窗口，按要求注册、填写相关信息并上传近期红底一寸免冠彩色正面证件照（电子照片）进行报名，同时下载打印报名表（附件2），并真实准确填写好相关信息，本人签字后，将此报名表以</w:t>
      </w:r>
      <w:r>
        <w:rPr>
          <w:rFonts w:hint="eastAsia" w:ascii="仿宋_GB2312" w:hAnsi="仿宋" w:eastAsia="仿宋_GB2312" w:cs="Times New Roman"/>
          <w:color w:val="FF0000"/>
          <w:kern w:val="2"/>
          <w:sz w:val="32"/>
          <w:szCs w:val="32"/>
          <w:lang w:val="en-US" w:eastAsia="zh-CN" w:bidi="ar"/>
        </w:rPr>
        <w:t>电子文档及签名后的图片形式打包</w:t>
      </w:r>
      <w:r>
        <w:rPr>
          <w:rFonts w:hint="eastAsia" w:ascii="仿宋_GB2312" w:hAnsi="仿宋" w:eastAsia="仿宋_GB2312" w:cs="Times New Roman"/>
          <w:kern w:val="2"/>
          <w:sz w:val="32"/>
          <w:szCs w:val="32"/>
          <w:lang w:val="en-US" w:eastAsia="zh-CN" w:bidi="ar"/>
        </w:rPr>
        <w:t>发送到教体局邮箱（2148292918@qq.com）进行确认。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3.每位考生限报一个学科专业。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（二）资格审查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1.资格审查日期：</w:t>
      </w:r>
      <w:r>
        <w:rPr>
          <w:rFonts w:hint="eastAsia" w:ascii="仿宋_GB2312" w:hAnsi="仿宋" w:eastAsia="仿宋_GB2312" w:cs="Times New Roman"/>
          <w:kern w:val="2"/>
          <w:sz w:val="32"/>
          <w:szCs w:val="32"/>
          <w:highlight w:val="none"/>
          <w:lang w:val="en-US" w:eastAsia="zh-CN" w:bidi="ar"/>
        </w:rPr>
        <w:t>2021年10月29日-2021年10月30日，时间上午9:00-12:00，下午14:00-17:00，时间两天。地点设在进贤县教体局(进贤二初旁）三楼第二会</w:t>
      </w:r>
      <w:r>
        <w:rPr>
          <w:rFonts w:hint="eastAsia" w:ascii="仿宋_GB2312" w:hAnsi="仿宋" w:eastAsia="仿宋_GB2312" w:cs="Times New Roman"/>
          <w:kern w:val="2"/>
          <w:sz w:val="32"/>
          <w:szCs w:val="32"/>
          <w:lang w:val="en-US" w:eastAsia="zh-CN" w:bidi="ar"/>
        </w:rPr>
        <w:t>议室。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2.资格审查需提供的材料：报名表、身份证、毕业证、学位证、学信网学籍证明(国外同等学历的留学人员需要提供教育部留学服务中心国(境)外学历学位及高等教育文凭的认证材料)、教师资格证的原件和复印件，近期免冠半身小2寸照片1张，非应届毕业生需提供教学工作经验证明，正式在编人员还需提供单位及主管部门同意报考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3.资格审查贯穿引进工作全过程。对招聘人数与报名人数不低于1:2的岗位将组织面试，对低于1:2的岗位将核减或取消引进计划。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（四）面试</w:t>
      </w:r>
    </w:p>
    <w:p>
      <w:pPr>
        <w:pStyle w:val="2"/>
        <w:keepNext w:val="0"/>
        <w:keepLines w:val="0"/>
        <w:pageBreakBefore w:val="0"/>
        <w:kinsoku/>
        <w:wordWrap/>
        <w:overflowPunct/>
        <w:topLinePunct w:val="0"/>
        <w:autoSpaceDE/>
        <w:autoSpaceDN/>
        <w:bidi w:val="0"/>
        <w:spacing w:line="240" w:lineRule="auto"/>
        <w:ind w:firstLine="619" w:firstLineChars="200"/>
        <w:jc w:val="both"/>
        <w:textAlignment w:val="auto"/>
        <w:rPr>
          <w:rFonts w:hint="default" w:ascii="仿宋_GB2312" w:hAnsi="仿宋" w:eastAsia="仿宋_GB2312" w:cs="Times New Roman"/>
          <w:b w:val="0"/>
          <w:bCs w:val="0"/>
          <w:spacing w:val="0"/>
          <w:kern w:val="2"/>
          <w:sz w:val="32"/>
          <w:szCs w:val="32"/>
          <w:lang w:val="en-US" w:eastAsia="zh-CN" w:bidi="ar"/>
        </w:rPr>
      </w:pPr>
      <w:r>
        <w:rPr>
          <w:rFonts w:hint="eastAsia" w:ascii="仿宋_GB2312" w:hAnsi="仿宋" w:eastAsia="仿宋_GB2312" w:cs="Times New Roman"/>
          <w:color w:val="auto"/>
          <w:kern w:val="2"/>
          <w:sz w:val="32"/>
          <w:szCs w:val="32"/>
          <w:lang w:val="en-US" w:eastAsia="zh-CN" w:bidi="ar"/>
        </w:rPr>
        <w:t>1.</w:t>
      </w:r>
      <w:r>
        <w:rPr>
          <w:rFonts w:hint="eastAsia" w:ascii="仿宋_GB2312" w:hAnsi="仿宋" w:eastAsia="仿宋_GB2312" w:cs="Times New Roman"/>
          <w:b w:val="0"/>
          <w:bCs w:val="0"/>
          <w:color w:val="auto"/>
          <w:spacing w:val="0"/>
          <w:kern w:val="2"/>
          <w:sz w:val="32"/>
          <w:szCs w:val="32"/>
          <w:lang w:val="en-US" w:eastAsia="zh-CN" w:bidi="ar"/>
        </w:rPr>
        <w:t>面</w:t>
      </w:r>
      <w:r>
        <w:rPr>
          <w:rFonts w:hint="eastAsia" w:ascii="仿宋_GB2312" w:hAnsi="仿宋" w:eastAsia="仿宋_GB2312" w:cs="Times New Roman"/>
          <w:b w:val="0"/>
          <w:bCs w:val="0"/>
          <w:spacing w:val="0"/>
          <w:kern w:val="2"/>
          <w:sz w:val="32"/>
          <w:szCs w:val="32"/>
          <w:lang w:val="en-US" w:eastAsia="zh-CN" w:bidi="ar"/>
        </w:rPr>
        <w:t>试时间、地点详见准考证。</w:t>
      </w:r>
    </w:p>
    <w:p>
      <w:pPr>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sz w:val="32"/>
          <w:szCs w:val="32"/>
        </w:rPr>
      </w:pPr>
      <w:r>
        <w:rPr>
          <w:rFonts w:hint="eastAsia" w:ascii="仿宋_GB2312" w:hAnsi="仿宋" w:eastAsia="仿宋_GB2312" w:cs="Times New Roman"/>
          <w:b w:val="0"/>
          <w:bCs w:val="0"/>
          <w:color w:val="FF0000"/>
          <w:spacing w:val="0"/>
          <w:kern w:val="2"/>
          <w:sz w:val="32"/>
          <w:szCs w:val="32"/>
          <w:lang w:val="en-US" w:eastAsia="zh-CN" w:bidi="ar"/>
        </w:rPr>
        <w:t>2.面试流程：</w:t>
      </w:r>
      <w:r>
        <w:rPr>
          <w:rFonts w:hint="eastAsia" w:ascii="仿宋" w:hAnsi="仿宋" w:eastAsia="仿宋"/>
          <w:color w:val="auto"/>
          <w:sz w:val="32"/>
          <w:szCs w:val="32"/>
        </w:rPr>
        <w:t>报</w:t>
      </w:r>
      <w:r>
        <w:rPr>
          <w:rFonts w:hint="eastAsia" w:ascii="仿宋" w:hAnsi="仿宋" w:eastAsia="仿宋"/>
          <w:sz w:val="32"/>
          <w:szCs w:val="32"/>
        </w:rPr>
        <w:t>到→抽签→候考→</w:t>
      </w:r>
      <w:r>
        <w:rPr>
          <w:rFonts w:hint="eastAsia" w:ascii="仿宋" w:hAnsi="仿宋" w:eastAsia="仿宋"/>
          <w:sz w:val="32"/>
          <w:szCs w:val="32"/>
          <w:lang w:eastAsia="zh-CN"/>
        </w:rPr>
        <w:t>备课</w:t>
      </w:r>
      <w:r>
        <w:rPr>
          <w:rFonts w:hint="eastAsia" w:ascii="仿宋" w:hAnsi="仿宋" w:eastAsia="仿宋"/>
          <w:sz w:val="32"/>
          <w:szCs w:val="32"/>
        </w:rPr>
        <w:t>→面试→评分→确认→离场</w:t>
      </w:r>
    </w:p>
    <w:p>
      <w:pPr>
        <w:keepNext w:val="0"/>
        <w:keepLines w:val="0"/>
        <w:pageBreakBefore w:val="0"/>
        <w:widowControl w:val="0"/>
        <w:kinsoku/>
        <w:wordWrap/>
        <w:overflowPunct/>
        <w:topLinePunct w:val="0"/>
        <w:autoSpaceDE/>
        <w:autoSpaceDN/>
        <w:bidi w:val="0"/>
        <w:adjustRightInd/>
        <w:snapToGrid w:val="0"/>
        <w:spacing w:line="240" w:lineRule="auto"/>
        <w:ind w:firstLine="600" w:firstLineChars="200"/>
        <w:textAlignment w:val="auto"/>
        <w:outlineLvl w:val="9"/>
        <w:rPr>
          <w:rFonts w:hint="eastAsia" w:ascii="仿宋_GB2312" w:eastAsia="仿宋_GB2312"/>
          <w:color w:val="000000"/>
          <w:sz w:val="30"/>
          <w:szCs w:val="30"/>
        </w:rPr>
      </w:pPr>
      <w:r>
        <w:rPr>
          <w:rFonts w:hint="eastAsia" w:ascii="仿宋_GB2312" w:eastAsia="仿宋_GB2312"/>
          <w:color w:val="000000"/>
          <w:sz w:val="30"/>
          <w:szCs w:val="30"/>
        </w:rPr>
        <w:t>流程1</w:t>
      </w:r>
      <w:r>
        <w:rPr>
          <w:rFonts w:ascii="仿宋" w:hAnsi="仿宋" w:eastAsia="仿宋"/>
          <w:color w:val="000000"/>
          <w:sz w:val="30"/>
          <w:szCs w:val="30"/>
          <w:shd w:val="clear" w:color="auto" w:fill="FFFFFF"/>
        </w:rPr>
        <w:t>报到：按照准考证所列内容和要求，考生佩戴口罩凭本人有效二代身份证和准考证到指定地点扫码、测温、报到。</w:t>
      </w:r>
    </w:p>
    <w:p>
      <w:pPr>
        <w:keepNext w:val="0"/>
        <w:keepLines w:val="0"/>
        <w:pageBreakBefore w:val="0"/>
        <w:kinsoku/>
        <w:wordWrap/>
        <w:overflowPunct/>
        <w:topLinePunct w:val="0"/>
        <w:autoSpaceDE/>
        <w:autoSpaceDN/>
        <w:bidi w:val="0"/>
        <w:snapToGrid w:val="0"/>
        <w:spacing w:line="240" w:lineRule="auto"/>
        <w:ind w:firstLine="600" w:firstLineChars="200"/>
        <w:textAlignment w:val="auto"/>
        <w:rPr>
          <w:rFonts w:hint="eastAsia" w:ascii="仿宋_GB2312" w:eastAsia="仿宋_GB2312"/>
          <w:color w:val="FF0000"/>
          <w:sz w:val="30"/>
          <w:szCs w:val="30"/>
        </w:rPr>
      </w:pPr>
      <w:r>
        <w:rPr>
          <w:rFonts w:hint="eastAsia" w:ascii="仿宋_GB2312" w:eastAsia="仿宋_GB2312"/>
          <w:sz w:val="30"/>
          <w:szCs w:val="30"/>
        </w:rPr>
        <w:t>流程2  抽签：在</w:t>
      </w:r>
      <w:r>
        <w:rPr>
          <w:rFonts w:hint="eastAsia" w:ascii="仿宋_GB2312" w:eastAsia="仿宋_GB2312"/>
          <w:sz w:val="30"/>
          <w:szCs w:val="30"/>
          <w:lang w:eastAsia="zh-CN"/>
        </w:rPr>
        <w:t>检录</w:t>
      </w:r>
      <w:r>
        <w:rPr>
          <w:rFonts w:hint="eastAsia" w:ascii="仿宋_GB2312" w:eastAsia="仿宋_GB2312"/>
          <w:sz w:val="30"/>
          <w:szCs w:val="30"/>
        </w:rPr>
        <w:t>员的组织下</w:t>
      </w:r>
      <w:r>
        <w:rPr>
          <w:rFonts w:hint="eastAsia" w:ascii="仿宋_GB2312" w:eastAsia="仿宋_GB2312"/>
          <w:sz w:val="30"/>
          <w:szCs w:val="30"/>
          <w:lang w:eastAsia="zh-CN"/>
        </w:rPr>
        <w:t>，</w:t>
      </w:r>
      <w:r>
        <w:rPr>
          <w:rFonts w:hint="eastAsia" w:ascii="仿宋_GB2312" w:eastAsia="仿宋_GB2312"/>
          <w:sz w:val="30"/>
          <w:szCs w:val="30"/>
        </w:rPr>
        <w:t>抽签确定面试顺</w:t>
      </w:r>
      <w:r>
        <w:rPr>
          <w:rFonts w:hint="eastAsia" w:ascii="仿宋_GB2312" w:eastAsia="仿宋_GB2312"/>
          <w:sz w:val="30"/>
          <w:szCs w:val="30"/>
          <w:lang w:eastAsia="zh-CN"/>
        </w:rPr>
        <w:t>序，</w:t>
      </w:r>
      <w:r>
        <w:rPr>
          <w:rFonts w:hint="eastAsia" w:ascii="仿宋_GB2312" w:eastAsia="仿宋_GB2312"/>
          <w:color w:val="FF0000"/>
          <w:sz w:val="30"/>
          <w:szCs w:val="30"/>
          <w:lang w:eastAsia="zh-CN"/>
        </w:rPr>
        <w:t>考生抽取面试题本</w:t>
      </w:r>
      <w:r>
        <w:rPr>
          <w:rFonts w:hint="eastAsia" w:ascii="仿宋_GB2312" w:eastAsia="仿宋_GB2312"/>
          <w:color w:val="FF0000"/>
          <w:sz w:val="30"/>
          <w:szCs w:val="30"/>
        </w:rPr>
        <w:t>。</w:t>
      </w:r>
    </w:p>
    <w:p>
      <w:pPr>
        <w:keepNext w:val="0"/>
        <w:keepLines w:val="0"/>
        <w:pageBreakBefore w:val="0"/>
        <w:kinsoku/>
        <w:wordWrap/>
        <w:overflowPunct/>
        <w:topLinePunct w:val="0"/>
        <w:autoSpaceDE/>
        <w:autoSpaceDN/>
        <w:bidi w:val="0"/>
        <w:snapToGrid w:val="0"/>
        <w:spacing w:line="24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流程3 候考：面试考生在指定的候考区候考。</w:t>
      </w:r>
    </w:p>
    <w:p>
      <w:pPr>
        <w:keepNext w:val="0"/>
        <w:keepLines w:val="0"/>
        <w:pageBreakBefore w:val="0"/>
        <w:kinsoku/>
        <w:wordWrap/>
        <w:overflowPunct/>
        <w:topLinePunct w:val="0"/>
        <w:autoSpaceDE/>
        <w:autoSpaceDN/>
        <w:bidi w:val="0"/>
        <w:snapToGrid w:val="0"/>
        <w:spacing w:line="24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流程4 </w:t>
      </w:r>
      <w:r>
        <w:rPr>
          <w:rFonts w:hint="eastAsia" w:ascii="仿宋_GB2312" w:eastAsia="仿宋_GB2312"/>
          <w:sz w:val="30"/>
          <w:szCs w:val="30"/>
          <w:lang w:eastAsia="zh-CN"/>
        </w:rPr>
        <w:t>备课</w:t>
      </w:r>
      <w:r>
        <w:rPr>
          <w:rFonts w:hint="eastAsia" w:ascii="仿宋_GB2312" w:eastAsia="仿宋_GB2312"/>
          <w:sz w:val="30"/>
          <w:szCs w:val="30"/>
        </w:rPr>
        <w:t>：在</w:t>
      </w:r>
      <w:r>
        <w:rPr>
          <w:rFonts w:hint="eastAsia" w:ascii="仿宋_GB2312" w:eastAsia="仿宋_GB2312"/>
          <w:sz w:val="30"/>
          <w:szCs w:val="30"/>
          <w:lang w:eastAsia="zh-CN"/>
        </w:rPr>
        <w:t>引导员</w:t>
      </w:r>
      <w:r>
        <w:rPr>
          <w:rFonts w:hint="eastAsia" w:ascii="仿宋_GB2312" w:eastAsia="仿宋_GB2312"/>
          <w:sz w:val="30"/>
          <w:szCs w:val="30"/>
        </w:rPr>
        <w:t>指引下，到指定的</w:t>
      </w:r>
      <w:r>
        <w:rPr>
          <w:rFonts w:hint="eastAsia" w:ascii="仿宋_GB2312" w:eastAsia="仿宋_GB2312"/>
          <w:sz w:val="30"/>
          <w:szCs w:val="30"/>
          <w:lang w:eastAsia="zh-CN"/>
        </w:rPr>
        <w:t>备课室进行备课，考生备课时间为</w:t>
      </w:r>
      <w:r>
        <w:rPr>
          <w:rFonts w:hint="eastAsia" w:ascii="仿宋_GB2312" w:eastAsia="仿宋_GB2312"/>
          <w:sz w:val="30"/>
          <w:szCs w:val="30"/>
          <w:lang w:val="en-US" w:eastAsia="zh-CN"/>
        </w:rPr>
        <w:t>60分钟</w:t>
      </w:r>
      <w:r>
        <w:rPr>
          <w:rFonts w:hint="eastAsia" w:ascii="仿宋_GB2312" w:eastAsia="仿宋_GB2312"/>
          <w:sz w:val="30"/>
          <w:szCs w:val="30"/>
        </w:rPr>
        <w:t>。</w:t>
      </w:r>
    </w:p>
    <w:p>
      <w:pPr>
        <w:keepNext w:val="0"/>
        <w:keepLines w:val="0"/>
        <w:pageBreakBefore w:val="0"/>
        <w:kinsoku/>
        <w:wordWrap/>
        <w:overflowPunct/>
        <w:topLinePunct w:val="0"/>
        <w:autoSpaceDE/>
        <w:autoSpaceDN/>
        <w:bidi w:val="0"/>
        <w:snapToGrid w:val="0"/>
        <w:spacing w:line="24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流程</w:t>
      </w:r>
      <w:r>
        <w:rPr>
          <w:rFonts w:hint="eastAsia" w:ascii="仿宋_GB2312" w:eastAsia="仿宋_GB2312"/>
          <w:sz w:val="30"/>
          <w:szCs w:val="30"/>
          <w:lang w:val="en-US" w:eastAsia="zh-CN"/>
        </w:rPr>
        <w:t>5</w:t>
      </w:r>
      <w:r>
        <w:rPr>
          <w:rFonts w:hint="eastAsia" w:ascii="仿宋_GB2312" w:eastAsia="仿宋_GB2312"/>
          <w:sz w:val="30"/>
          <w:szCs w:val="30"/>
        </w:rPr>
        <w:t xml:space="preserve"> 面试：在</w:t>
      </w:r>
      <w:r>
        <w:rPr>
          <w:rFonts w:hint="eastAsia" w:ascii="仿宋_GB2312" w:eastAsia="仿宋_GB2312"/>
          <w:sz w:val="30"/>
          <w:szCs w:val="30"/>
          <w:lang w:eastAsia="zh-CN"/>
        </w:rPr>
        <w:t>工作人员的</w:t>
      </w:r>
      <w:r>
        <w:rPr>
          <w:rFonts w:hint="eastAsia" w:ascii="仿宋_GB2312" w:eastAsia="仿宋_GB2312"/>
          <w:sz w:val="30"/>
          <w:szCs w:val="30"/>
        </w:rPr>
        <w:t>引</w:t>
      </w:r>
      <w:r>
        <w:rPr>
          <w:rFonts w:hint="eastAsia" w:ascii="仿宋_GB2312" w:eastAsia="仿宋_GB2312"/>
          <w:sz w:val="30"/>
          <w:szCs w:val="30"/>
          <w:lang w:eastAsia="zh-CN"/>
        </w:rPr>
        <w:t>导</w:t>
      </w:r>
      <w:r>
        <w:rPr>
          <w:rFonts w:hint="eastAsia" w:ascii="仿宋_GB2312" w:eastAsia="仿宋_GB2312"/>
          <w:sz w:val="30"/>
          <w:szCs w:val="30"/>
        </w:rPr>
        <w:t>下，到指定的面试</w:t>
      </w:r>
      <w:r>
        <w:rPr>
          <w:rFonts w:hint="eastAsia" w:ascii="仿宋_GB2312" w:eastAsia="仿宋_GB2312"/>
          <w:sz w:val="30"/>
          <w:szCs w:val="30"/>
          <w:lang w:eastAsia="zh-CN"/>
        </w:rPr>
        <w:t>室</w:t>
      </w:r>
      <w:r>
        <w:rPr>
          <w:rFonts w:hint="eastAsia" w:ascii="仿宋_GB2312" w:eastAsia="仿宋_GB2312"/>
          <w:sz w:val="30"/>
          <w:szCs w:val="30"/>
        </w:rPr>
        <w:t>面试。</w:t>
      </w:r>
    </w:p>
    <w:p>
      <w:pPr>
        <w:keepNext w:val="0"/>
        <w:keepLines w:val="0"/>
        <w:pageBreakBefore w:val="0"/>
        <w:kinsoku/>
        <w:wordWrap/>
        <w:overflowPunct/>
        <w:topLinePunct w:val="0"/>
        <w:autoSpaceDE/>
        <w:autoSpaceDN/>
        <w:bidi w:val="0"/>
        <w:snapToGrid w:val="0"/>
        <w:spacing w:line="24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流程</w:t>
      </w:r>
      <w:r>
        <w:rPr>
          <w:rFonts w:hint="eastAsia" w:ascii="仿宋_GB2312" w:eastAsia="仿宋_GB2312"/>
          <w:sz w:val="30"/>
          <w:szCs w:val="30"/>
          <w:lang w:val="en-US" w:eastAsia="zh-CN"/>
        </w:rPr>
        <w:t>6</w:t>
      </w:r>
      <w:r>
        <w:rPr>
          <w:rFonts w:hint="eastAsia" w:ascii="仿宋_GB2312" w:eastAsia="仿宋_GB2312"/>
          <w:sz w:val="30"/>
          <w:szCs w:val="30"/>
        </w:rPr>
        <w:t xml:space="preserve"> 评分：面试考官根据考生面试情况，独立评出其各测评要素分，签名后交统分员</w:t>
      </w:r>
      <w:r>
        <w:rPr>
          <w:rFonts w:hint="eastAsia" w:ascii="仿宋_GB2312" w:eastAsia="仿宋_GB2312"/>
          <w:sz w:val="30"/>
          <w:szCs w:val="30"/>
          <w:lang w:eastAsia="zh-CN"/>
        </w:rPr>
        <w:t>进行</w:t>
      </w:r>
      <w:r>
        <w:rPr>
          <w:rFonts w:hint="eastAsia" w:ascii="仿宋_GB2312" w:eastAsia="仿宋_GB2312"/>
          <w:sz w:val="30"/>
          <w:szCs w:val="30"/>
        </w:rPr>
        <w:t>统计出考生最后得分。</w:t>
      </w:r>
    </w:p>
    <w:p>
      <w:pPr>
        <w:keepNext w:val="0"/>
        <w:keepLines w:val="0"/>
        <w:pageBreakBefore w:val="0"/>
        <w:kinsoku/>
        <w:wordWrap/>
        <w:overflowPunct/>
        <w:topLinePunct w:val="0"/>
        <w:autoSpaceDE/>
        <w:autoSpaceDN/>
        <w:bidi w:val="0"/>
        <w:snapToGrid w:val="0"/>
        <w:spacing w:line="24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流程</w:t>
      </w:r>
      <w:r>
        <w:rPr>
          <w:rFonts w:hint="eastAsia" w:ascii="仿宋_GB2312" w:eastAsia="仿宋_GB2312"/>
          <w:sz w:val="30"/>
          <w:szCs w:val="30"/>
          <w:lang w:val="en-US" w:eastAsia="zh-CN"/>
        </w:rPr>
        <w:t>7</w:t>
      </w:r>
      <w:r>
        <w:rPr>
          <w:rFonts w:hint="eastAsia" w:ascii="仿宋_GB2312" w:eastAsia="仿宋_GB2312"/>
          <w:sz w:val="30"/>
          <w:szCs w:val="30"/>
        </w:rPr>
        <w:t xml:space="preserve"> 确认：在</w:t>
      </w:r>
      <w:r>
        <w:rPr>
          <w:rFonts w:hint="eastAsia" w:ascii="仿宋_GB2312" w:eastAsia="仿宋_GB2312"/>
          <w:sz w:val="30"/>
          <w:szCs w:val="30"/>
          <w:lang w:eastAsia="zh-CN"/>
        </w:rPr>
        <w:t>《</w:t>
      </w:r>
      <w:r>
        <w:rPr>
          <w:rFonts w:hint="eastAsia" w:ascii="仿宋_GB2312" w:eastAsia="仿宋_GB2312"/>
          <w:sz w:val="30"/>
          <w:szCs w:val="30"/>
        </w:rPr>
        <w:t>面试成绩</w:t>
      </w:r>
      <w:r>
        <w:rPr>
          <w:rFonts w:hint="eastAsia" w:ascii="仿宋_GB2312" w:eastAsia="仿宋_GB2312"/>
          <w:sz w:val="30"/>
          <w:szCs w:val="30"/>
          <w:lang w:eastAsia="zh-CN"/>
        </w:rPr>
        <w:t>确认</w:t>
      </w:r>
      <w:r>
        <w:rPr>
          <w:rFonts w:hint="eastAsia" w:ascii="仿宋_GB2312" w:eastAsia="仿宋_GB2312"/>
          <w:sz w:val="30"/>
          <w:szCs w:val="30"/>
        </w:rPr>
        <w:t>表</w:t>
      </w:r>
      <w:r>
        <w:rPr>
          <w:rFonts w:hint="eastAsia" w:ascii="仿宋_GB2312" w:eastAsia="仿宋_GB2312"/>
          <w:sz w:val="30"/>
          <w:szCs w:val="30"/>
          <w:lang w:eastAsia="zh-CN"/>
        </w:rPr>
        <w:t>》</w:t>
      </w:r>
      <w:r>
        <w:rPr>
          <w:rFonts w:hint="eastAsia" w:ascii="仿宋_GB2312" w:eastAsia="仿宋_GB2312"/>
          <w:sz w:val="30"/>
          <w:szCs w:val="30"/>
        </w:rPr>
        <w:t>上，考生在</w:t>
      </w:r>
      <w:r>
        <w:rPr>
          <w:rFonts w:hint="eastAsia" w:ascii="仿宋_GB2312" w:eastAsia="仿宋_GB2312"/>
          <w:sz w:val="30"/>
          <w:szCs w:val="30"/>
          <w:lang w:eastAsia="zh-CN"/>
        </w:rPr>
        <w:t>统分</w:t>
      </w:r>
      <w:r>
        <w:rPr>
          <w:rFonts w:hint="eastAsia" w:ascii="仿宋_GB2312" w:eastAsia="仿宋_GB2312"/>
          <w:sz w:val="30"/>
          <w:szCs w:val="30"/>
        </w:rPr>
        <w:t>员指定的位置签名，</w:t>
      </w:r>
      <w:r>
        <w:rPr>
          <w:rFonts w:hint="eastAsia" w:ascii="仿宋_GB2312" w:eastAsia="仿宋_GB2312"/>
          <w:sz w:val="30"/>
          <w:szCs w:val="30"/>
          <w:lang w:eastAsia="zh-CN"/>
        </w:rPr>
        <w:t>并在考场视频记录仪镜头前手持已签名的成绩单进行</w:t>
      </w:r>
      <w:r>
        <w:rPr>
          <w:rFonts w:hint="eastAsia" w:ascii="仿宋_GB2312" w:eastAsia="仿宋_GB2312"/>
          <w:sz w:val="30"/>
          <w:szCs w:val="30"/>
        </w:rPr>
        <w:t>确认。</w:t>
      </w:r>
    </w:p>
    <w:p>
      <w:pPr>
        <w:pStyle w:val="2"/>
        <w:keepNext w:val="0"/>
        <w:keepLines w:val="0"/>
        <w:pageBreakBefore w:val="0"/>
        <w:kinsoku/>
        <w:wordWrap/>
        <w:overflowPunct/>
        <w:topLinePunct w:val="0"/>
        <w:autoSpaceDE/>
        <w:autoSpaceDN/>
        <w:bidi w:val="0"/>
        <w:spacing w:line="240" w:lineRule="auto"/>
        <w:ind w:firstLine="576" w:firstLineChars="200"/>
        <w:jc w:val="both"/>
        <w:textAlignment w:val="auto"/>
        <w:rPr>
          <w:rFonts w:hint="eastAsia" w:ascii="仿宋_GB2312" w:hAnsi="仿宋" w:eastAsia="仿宋_GB2312" w:cs="Times New Roman"/>
          <w:b w:val="0"/>
          <w:bCs w:val="0"/>
          <w:spacing w:val="0"/>
          <w:kern w:val="2"/>
          <w:sz w:val="32"/>
          <w:szCs w:val="32"/>
          <w:lang w:val="en-US" w:eastAsia="zh-CN" w:bidi="ar"/>
        </w:rPr>
      </w:pPr>
      <w:r>
        <w:rPr>
          <w:rFonts w:hint="eastAsia" w:ascii="仿宋_GB2312" w:eastAsia="仿宋_GB2312"/>
          <w:b w:val="0"/>
          <w:bCs w:val="0"/>
          <w:sz w:val="30"/>
          <w:szCs w:val="30"/>
        </w:rPr>
        <w:t>流程</w:t>
      </w:r>
      <w:r>
        <w:rPr>
          <w:rFonts w:hint="eastAsia" w:ascii="仿宋_GB2312" w:eastAsia="仿宋_GB2312"/>
          <w:b w:val="0"/>
          <w:bCs w:val="0"/>
          <w:sz w:val="30"/>
          <w:szCs w:val="30"/>
          <w:lang w:val="en-US" w:eastAsia="zh-CN"/>
        </w:rPr>
        <w:t>8</w:t>
      </w:r>
      <w:r>
        <w:rPr>
          <w:rFonts w:hint="eastAsia" w:ascii="仿宋_GB2312" w:eastAsia="仿宋_GB2312"/>
          <w:b w:val="0"/>
          <w:bCs w:val="0"/>
          <w:sz w:val="30"/>
          <w:szCs w:val="30"/>
        </w:rPr>
        <w:t xml:space="preserve"> 离场：确认成绩后，立即离开考场、考点。</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uto"/>
        <w:ind w:right="0" w:rightChars="0" w:firstLine="640" w:firstLineChars="200"/>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3.注意事项</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uto"/>
        <w:ind w:right="0" w:rightChars="0" w:firstLine="640" w:firstLineChars="200"/>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(1)考生务必带好二代有效身份证、面试准考证参加面试。考生进入考点自觉佩戴口罩，按照要求扫码、测量体温，除二代有效身份证、面试准考证，须将随身携带的其他物品寄存在考点指定位置，不得携带手机、书籍、资料及其他电子设备等(面试可自备教具，经工作人员检查并允许后方可带入候考室、备课室及考场)进入考场区域，一经发现，则视作舞弊，面试成绩判零分。面试时如出现缺席、迟到、违纪等情况，其面试成绩以零分计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uto"/>
        <w:ind w:left="0" w:right="0" w:firstLine="420"/>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(2)面试期间考生全程封闭。考生于准考证上通知时间前到达面试地点。凭证进入考点。在检录员组织下集中抽签确定面试的顺序;届时未到者，取消面试资格。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uto"/>
        <w:ind w:left="0" w:right="0" w:firstLine="420"/>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(3)考生考试顺序经抽签确定。每考场各学段学科的第1号考生作为考生代表，在监考和监督人员的组织下，在备课室抽取本学段学科的试题题本。考生按抽签顺序参加考试，待考考生全程不得离开候考室(特殊情况需经本考场监考人员及监督人员同意并全程陪同)。下午进行面试的考生，在监考和监督人员的组织下，中午在候考室就餐(考点提供)、休息，未经批准不得离开候考室，否则按弃权处理，并立即离开考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uto"/>
        <w:ind w:left="0" w:right="0" w:firstLine="420"/>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(4)除正常考试外，考生不得与考官及其他面试工作人员接触。面试时，只报面试顺序号，不得泄露本人身份。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uto"/>
        <w:ind w:left="0" w:right="0" w:firstLine="420"/>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(5)考生面试结束并确认本人成绩后，必须立即离开考场、考点。离开考点时凭证取回寄存物品。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uto"/>
        <w:ind w:left="0" w:right="0" w:firstLine="420"/>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(6)考生应自觉遵守面试纪律及有关注意事项，服从面试工作人员的安排。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uto"/>
        <w:ind w:left="0" w:right="0" w:firstLine="420"/>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4. 面试成绩汇总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uto"/>
        <w:ind w:right="0" w:firstLine="320" w:firstLineChars="100"/>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(1)由面试考务工作办公室完成统计汇总工作，确定考生的最终成绩。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uto"/>
        <w:ind w:left="0" w:right="0" w:firstLine="420"/>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(2)面试时如出现缺席、迟到、违纪等情况，其面试成绩以零分计算。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uto"/>
        <w:ind w:left="0" w:right="0" w:firstLine="420"/>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(3)同一岗位入闱面试考生原则上在同一面试小组面试。如果同一岗位面试人数较多，需要 2 个或 2 个以上面试考官小组共同完成时，应对参加面试人员随机分组，并对面试成绩进行修正。修正公式为：考生面试成绩=考生面试得分×(同一职位全部考生平均分÷考生所在面试小组的考生平均分)。公式中计算平均分时，应去掉 2 个最高分、2 个最低分。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color w:val="auto"/>
          <w:kern w:val="2"/>
          <w:sz w:val="32"/>
          <w:szCs w:val="32"/>
          <w:lang w:val="en-US" w:eastAsia="zh-CN" w:bidi="ar"/>
        </w:rPr>
      </w:pPr>
      <w:r>
        <w:rPr>
          <w:rFonts w:hint="eastAsia" w:ascii="仿宋_GB2312" w:hAnsi="仿宋" w:eastAsia="仿宋_GB2312" w:cs="Times New Roman"/>
          <w:color w:val="auto"/>
          <w:kern w:val="2"/>
          <w:sz w:val="32"/>
          <w:szCs w:val="32"/>
          <w:lang w:val="en-US" w:eastAsia="zh-CN" w:bidi="ar"/>
        </w:rPr>
        <w:t>5.面试分学科进行，去掉</w:t>
      </w:r>
      <w:bookmarkStart w:id="0" w:name="_GoBack"/>
      <w:bookmarkEnd w:id="0"/>
      <w:r>
        <w:rPr>
          <w:rFonts w:hint="eastAsia" w:ascii="仿宋_GB2312" w:hAnsi="仿宋" w:eastAsia="仿宋_GB2312" w:cs="Times New Roman"/>
          <w:color w:val="auto"/>
          <w:kern w:val="2"/>
          <w:sz w:val="32"/>
          <w:szCs w:val="32"/>
          <w:lang w:val="en-US" w:eastAsia="zh-CN" w:bidi="ar"/>
        </w:rPr>
        <w:t>最高、最低分各一个，取三位评委平均分均保留小数点后两位数，第三位小数按四舍五入法处理，为面试得分。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6.面试方式为说课，时间20分钟，内容为高中学段本学科教材，面试满分为100分，70分为最低入闱分数（低于70分不具备体检资格），考生面试结束并当场确认成绩。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7.因面试缺考、考生作弊取消成绩、考生自动放弃(以规定时间未领取面试准考证为依据)致参加面试人数达不到规定比例的岗位，面试成绩须达到75分及以上，方可入闱体检。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（五）体检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1.按照考生面试成绩，分学科从高分到低分等额确定岗位体检人员，如末位成绩并列者一并进入体检，体检参照《江西省教师资格申请人员体检标准（修订）》（赣教规字〔2021〕3号）文件执行。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2.体检时间待定（具体时间以公告为准），地点待定，体检费用自理。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3.因工作实际需要，体检缺项者视为自动放弃。因体检自动放弃、体检不合格产生的缺额，按面试成绩由高到低分排名顺序递补一次，无递补人员的则取消或核减该岗位引进计划。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（六）政审考核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lang w:val="en-US" w:eastAsia="zh-CN"/>
        </w:rPr>
      </w:pPr>
      <w:r>
        <w:rPr>
          <w:rFonts w:hint="eastAsia" w:ascii="仿宋_GB2312" w:hAnsi="仿宋" w:eastAsia="仿宋_GB2312" w:cs="Times New Roman"/>
          <w:kern w:val="2"/>
          <w:sz w:val="32"/>
          <w:szCs w:val="32"/>
          <w:lang w:val="en-US" w:eastAsia="zh-CN" w:bidi="ar"/>
        </w:rPr>
        <w:t>体检合格的人员需提供本人人事档案及在校表现证明等相关材料进行考核，如出现考核不合格或自动放弃者，按面试成绩由高到低分排名顺序递补一次，无递补人员的则取消该岗位引进计划。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（七）公示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拟引进人员名单在进贤县人民政府官网上公示7个工作日。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（八）选岗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公示无异议后，同一学科按面试成绩从高分到低分排名进行选岗，末位成绩并列且考核合格者同时选岗，增加岗位由县引进工作领导小组研究解决。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（九）聘用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本次引进人员纳入机构编制范围内管理，办理人事编制等相关手续，用人单位与其签订为期六年的聘用合同。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黑体" w:hAnsi="黑体" w:eastAsia="黑体" w:cs="黑体"/>
          <w:b w:val="0"/>
          <w:bCs w:val="0"/>
          <w:sz w:val="32"/>
          <w:szCs w:val="32"/>
          <w:lang w:val="en-US" w:eastAsia="zh-CN"/>
        </w:rPr>
        <w:t>四、</w:t>
      </w:r>
      <w:r>
        <w:rPr>
          <w:rFonts w:hint="eastAsia" w:ascii="仿宋_GB2312" w:hAnsi="仿宋" w:eastAsia="仿宋_GB2312" w:cs="Times New Roman"/>
          <w:b/>
          <w:bCs/>
          <w:kern w:val="2"/>
          <w:sz w:val="32"/>
          <w:szCs w:val="32"/>
          <w:lang w:val="en-US" w:eastAsia="zh-CN" w:bidi="ar"/>
        </w:rPr>
        <w:t>相关待遇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1.对本次引进的人员，如户籍所在地为进贤县，本人首次在进贤县购买商品住房（面积不少于60㎡）时，可按6万元标准给予购房补贴。如非进贤县户籍，可凭录用手续先办理户口落户手续后，本人首次在进贤县购买商品住房（面积不少于60㎡）时，可按6万元标准给予购房补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2.本次引进的人员按每人每月1000元的标准给予为期3年的生活补贴。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3.本次引进的人员需与用人单位签订聘用合同，并在本县教育系统最低服务期满6年，对未满服务期的，按每少服务一年退回1万元补贴，由用人单位主管部门负责收缴上交县财政。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105" w:beforeAutospacing="0" w:after="105" w:afterAutospacing="0" w:line="240" w:lineRule="auto"/>
        <w:ind w:left="0" w:right="0" w:firstLine="420"/>
        <w:textAlignment w:val="auto"/>
        <w:rPr>
          <w:rFonts w:hint="eastAsia" w:ascii="黑体" w:hAnsi="黑体" w:eastAsia="黑体"/>
          <w:color w:val="FF0000"/>
          <w:sz w:val="32"/>
          <w:szCs w:val="32"/>
          <w:lang w:eastAsia="zh-CN"/>
        </w:rPr>
      </w:pPr>
      <w:r>
        <w:rPr>
          <w:rFonts w:hint="eastAsia" w:ascii="黑体" w:hAnsi="黑体" w:eastAsia="黑体"/>
          <w:color w:val="FF0000"/>
          <w:sz w:val="32"/>
          <w:szCs w:val="32"/>
        </w:rPr>
        <w:t>五、</w:t>
      </w:r>
      <w:r>
        <w:rPr>
          <w:rFonts w:hint="eastAsia" w:ascii="黑体" w:hAnsi="黑体" w:eastAsia="黑体"/>
          <w:color w:val="FF0000"/>
          <w:sz w:val="32"/>
          <w:szCs w:val="32"/>
          <w:lang w:eastAsia="zh-CN"/>
        </w:rPr>
        <w:t>疫情防控要求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105" w:beforeAutospacing="0" w:after="105" w:afterAutospacing="0" w:line="240" w:lineRule="auto"/>
        <w:ind w:left="0" w:right="0" w:firstLine="420"/>
        <w:textAlignment w:val="auto"/>
        <w:rPr>
          <w:rFonts w:hint="eastAsia" w:ascii="仿宋" w:hAnsi="仿宋" w:eastAsia="仿宋" w:cs="仿宋"/>
          <w:i w:val="0"/>
          <w:iCs w:val="0"/>
          <w:caps w:val="0"/>
          <w:color w:val="FF0000"/>
          <w:spacing w:val="0"/>
          <w:sz w:val="32"/>
          <w:szCs w:val="32"/>
        </w:rPr>
      </w:pPr>
      <w:r>
        <w:rPr>
          <w:rFonts w:hint="eastAsia" w:ascii="仿宋" w:hAnsi="仿宋" w:eastAsia="仿宋" w:cs="仿宋"/>
          <w:i w:val="0"/>
          <w:iCs w:val="0"/>
          <w:caps w:val="0"/>
          <w:color w:val="FF0000"/>
          <w:spacing w:val="0"/>
          <w:sz w:val="32"/>
          <w:szCs w:val="32"/>
          <w:shd w:val="clear" w:fill="FFFFFF"/>
        </w:rPr>
        <w:t>1.参加面试人员均是落实疫情防控工作的主体,均应承担面试期间的疫情防控主体责任,严格落实疫情防控措施。对隐瞒接触史和旅居史、病情或拒不执行疫情防控措施,引起不良后果的,将依法追究其法律责任。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105" w:beforeAutospacing="0" w:after="105" w:afterAutospacing="0" w:line="240" w:lineRule="auto"/>
        <w:ind w:left="0" w:right="0" w:firstLine="420"/>
        <w:textAlignment w:val="auto"/>
        <w:rPr>
          <w:rFonts w:hint="eastAsia" w:ascii="仿宋" w:hAnsi="仿宋" w:eastAsia="仿宋" w:cs="仿宋"/>
          <w:i w:val="0"/>
          <w:iCs w:val="0"/>
          <w:caps w:val="0"/>
          <w:color w:val="FF0000"/>
          <w:spacing w:val="0"/>
          <w:sz w:val="32"/>
          <w:szCs w:val="32"/>
        </w:rPr>
      </w:pPr>
      <w:r>
        <w:rPr>
          <w:rFonts w:hint="eastAsia" w:ascii="仿宋" w:hAnsi="仿宋" w:eastAsia="仿宋" w:cs="仿宋"/>
          <w:i w:val="0"/>
          <w:iCs w:val="0"/>
          <w:caps w:val="0"/>
          <w:color w:val="FF0000"/>
          <w:spacing w:val="0"/>
          <w:sz w:val="32"/>
          <w:szCs w:val="32"/>
          <w:shd w:val="clear" w:fill="FFFFFF"/>
        </w:rPr>
        <w:t>2.在进入面试考点大门时,参加面试人员须佩戴口罩进入,扫描健康码(昌通码,建议考生提前申领)并接受体温测量,如遇参加面试人员健康码扫码为黄码或红码、不戴口罩的、体温连续三次测量≥37.3℃以上的,禁止进入面试现场,并直接劝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105" w:beforeAutospacing="0" w:after="105" w:afterAutospacing="0" w:line="240" w:lineRule="auto"/>
        <w:ind w:left="0" w:right="0" w:firstLine="420"/>
        <w:textAlignment w:val="auto"/>
        <w:rPr>
          <w:rFonts w:hint="eastAsia" w:ascii="仿宋" w:hAnsi="仿宋" w:eastAsia="仿宋" w:cs="仿宋"/>
          <w:color w:val="FF0000"/>
          <w:sz w:val="32"/>
          <w:szCs w:val="32"/>
          <w:lang w:eastAsia="zh-CN"/>
        </w:rPr>
      </w:pPr>
      <w:r>
        <w:rPr>
          <w:rFonts w:hint="eastAsia" w:ascii="仿宋" w:hAnsi="仿宋" w:eastAsia="仿宋" w:cs="仿宋"/>
          <w:i w:val="0"/>
          <w:iCs w:val="0"/>
          <w:caps w:val="0"/>
          <w:color w:val="FF0000"/>
          <w:spacing w:val="0"/>
          <w:sz w:val="32"/>
          <w:szCs w:val="32"/>
          <w:shd w:val="clear" w:fill="FFFFFF"/>
        </w:rPr>
        <w:t>3.凡现为新冠肺炎确诊病例、疑似病例、无症状感染者及其密切接触者,或密切接触者的密切接触人员;处于集中隔离、居家隔离的出院确诊病例、疑似病例、无症状感染者、境外来昌人员、密切接触者及考前14天内相关病例复阳人员;考前14天内有境内中高风险地区(动态调整)旅居史的人员;考前48小时及面试期间出现发热、乏力、咳嗽等症状的入闱面试人员,经疫情防控组的专家评估后认定不适合参加的人员,均不得参加本次面试考试。</w:t>
      </w:r>
    </w:p>
    <w:p>
      <w:pPr>
        <w:pStyle w:val="2"/>
        <w:keepNext w:val="0"/>
        <w:keepLines w:val="0"/>
        <w:pageBreakBefore w:val="0"/>
        <w:kinsoku/>
        <w:wordWrap/>
        <w:overflowPunct/>
        <w:topLinePunct w:val="0"/>
        <w:autoSpaceDE/>
        <w:autoSpaceDN/>
        <w:bidi w:val="0"/>
        <w:spacing w:line="240" w:lineRule="auto"/>
        <w:ind w:firstLine="643" w:firstLineChars="200"/>
        <w:jc w:val="both"/>
        <w:textAlignment w:val="auto"/>
        <w:rPr>
          <w:rFonts w:hint="eastAsia" w:ascii="仿宋" w:hAnsi="仿宋" w:eastAsia="仿宋" w:cs="仿宋"/>
          <w:b w:val="0"/>
          <w:bCs w:val="0"/>
          <w:color w:val="FF0000"/>
          <w:spacing w:val="0"/>
          <w:kern w:val="0"/>
          <w:sz w:val="32"/>
          <w:szCs w:val="32"/>
          <w:lang w:val="en-US" w:eastAsia="zh-CN" w:bidi="ar-SA"/>
        </w:rPr>
      </w:pPr>
      <w:r>
        <w:rPr>
          <w:rFonts w:hint="eastAsia" w:ascii="仿宋" w:hAnsi="仿宋" w:eastAsia="仿宋" w:cs="仿宋"/>
          <w:i w:val="0"/>
          <w:iCs w:val="0"/>
          <w:caps w:val="0"/>
          <w:color w:val="FF0000"/>
          <w:spacing w:val="0"/>
          <w:sz w:val="32"/>
          <w:szCs w:val="32"/>
          <w:shd w:val="clear" w:fill="FFFFFF"/>
          <w:lang w:val="en-US" w:eastAsia="zh-CN"/>
        </w:rPr>
        <w:t>4</w:t>
      </w:r>
      <w:r>
        <w:rPr>
          <w:rFonts w:hint="eastAsia" w:ascii="仿宋" w:hAnsi="仿宋" w:eastAsia="仿宋" w:cs="仿宋"/>
          <w:i w:val="0"/>
          <w:iCs w:val="0"/>
          <w:caps w:val="0"/>
          <w:color w:val="FF0000"/>
          <w:spacing w:val="0"/>
          <w:sz w:val="32"/>
          <w:szCs w:val="32"/>
          <w:shd w:val="clear" w:fill="FFFFFF"/>
        </w:rPr>
        <w:t>.</w:t>
      </w:r>
      <w:r>
        <w:rPr>
          <w:rFonts w:hint="eastAsia" w:ascii="仿宋" w:hAnsi="仿宋" w:eastAsia="仿宋" w:cs="仿宋"/>
          <w:b w:val="0"/>
          <w:bCs w:val="0"/>
          <w:color w:val="FF0000"/>
          <w:spacing w:val="0"/>
          <w:kern w:val="0"/>
          <w:sz w:val="32"/>
          <w:szCs w:val="32"/>
          <w:lang w:val="en-US" w:eastAsia="zh-CN" w:bidi="ar-SA"/>
        </w:rPr>
        <w:t>考生下载并打印《健康情况承诺书》（附件3）需本人签好字并带入考场。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六、联系电话</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咨询电话：（县教体局）0791-85672785</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lang w:val="en-US" w:eastAsia="zh-CN"/>
        </w:rPr>
      </w:pPr>
      <w:r>
        <w:rPr>
          <w:rFonts w:hint="eastAsia" w:ascii="仿宋_GB2312" w:hAnsi="仿宋" w:eastAsia="仿宋_GB2312" w:cs="Times New Roman"/>
          <w:kern w:val="2"/>
          <w:sz w:val="32"/>
          <w:szCs w:val="32"/>
          <w:lang w:val="en-US" w:eastAsia="zh-CN" w:bidi="ar"/>
        </w:rPr>
        <w:t>（县人社局）0791-85622587</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报名技术电话：0791-86660579</w:t>
      </w:r>
    </w:p>
    <w:p>
      <w:pPr>
        <w:keepNext w:val="0"/>
        <w:keepLines w:val="0"/>
        <w:pageBreakBefore w:val="0"/>
        <w:widowControl w:val="0"/>
        <w:kinsoku/>
        <w:wordWrap/>
        <w:overflowPunct/>
        <w:topLinePunct w:val="0"/>
        <w:autoSpaceDE/>
        <w:autoSpaceDN/>
        <w:bidi w:val="0"/>
        <w:adjustRightInd/>
        <w:snapToGrid/>
        <w:spacing w:line="240" w:lineRule="auto"/>
        <w:ind w:firstLine="4480" w:firstLineChars="1400"/>
        <w:jc w:val="left"/>
        <w:textAlignment w:val="auto"/>
        <w:rPr>
          <w:rFonts w:hint="eastAsia" w:ascii="仿宋_GB2312" w:hAnsi="仿宋" w:eastAsia="仿宋_GB2312" w:cs="Times New Roman"/>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firstLine="4480" w:firstLineChars="1400"/>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进贤县引进高层次人才</w:t>
      </w:r>
    </w:p>
    <w:p>
      <w:pPr>
        <w:keepNext w:val="0"/>
        <w:keepLines w:val="0"/>
        <w:pageBreakBefore w:val="0"/>
        <w:widowControl w:val="0"/>
        <w:kinsoku/>
        <w:wordWrap/>
        <w:overflowPunct/>
        <w:topLinePunct w:val="0"/>
        <w:autoSpaceDE/>
        <w:autoSpaceDN/>
        <w:bidi w:val="0"/>
        <w:adjustRightInd/>
        <w:snapToGrid/>
        <w:spacing w:line="240" w:lineRule="auto"/>
        <w:ind w:firstLine="4480" w:firstLineChars="1400"/>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工作领导小组办公室</w:t>
      </w:r>
    </w:p>
    <w:p>
      <w:pPr>
        <w:keepNext w:val="0"/>
        <w:keepLines w:val="0"/>
        <w:pageBreakBefore w:val="0"/>
        <w:widowControl w:val="0"/>
        <w:kinsoku/>
        <w:wordWrap/>
        <w:overflowPunct/>
        <w:topLinePunct w:val="0"/>
        <w:autoSpaceDE/>
        <w:autoSpaceDN/>
        <w:bidi w:val="0"/>
        <w:adjustRightInd/>
        <w:snapToGrid/>
        <w:spacing w:line="240" w:lineRule="auto"/>
        <w:ind w:firstLine="4800" w:firstLineChars="1500"/>
        <w:jc w:val="left"/>
        <w:textAlignment w:val="auto"/>
        <w:rPr>
          <w:rFonts w:hint="default"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2021年10月14日</w:t>
      </w:r>
    </w:p>
    <w:p>
      <w:pPr>
        <w:pStyle w:val="2"/>
        <w:keepNext w:val="0"/>
        <w:keepLines w:val="0"/>
        <w:pageBreakBefore w:val="0"/>
        <w:kinsoku/>
        <w:wordWrap/>
        <w:overflowPunct/>
        <w:topLinePunct w:val="0"/>
        <w:autoSpaceDE/>
        <w:autoSpaceDN/>
        <w:bidi w:val="0"/>
        <w:spacing w:line="240"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附件：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1.进贤县2021年引进高层次人才计划表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imes New Roman"/>
          <w:kern w:val="2"/>
          <w:sz w:val="32"/>
          <w:szCs w:val="32"/>
          <w:lang w:val="en-US" w:eastAsia="zh-CN" w:bidi="ar"/>
        </w:rPr>
      </w:pPr>
      <w:r>
        <w:rPr>
          <w:rFonts w:hint="eastAsia" w:ascii="仿宋_GB2312" w:hAnsi="仿宋" w:eastAsia="仿宋_GB2312" w:cs="Times New Roman"/>
          <w:kern w:val="2"/>
          <w:sz w:val="32"/>
          <w:szCs w:val="32"/>
          <w:lang w:val="en-US" w:eastAsia="zh-CN" w:bidi="ar"/>
        </w:rPr>
        <w:t>2.进贤县2021年引进高层次人才报名表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color w:val="000000" w:themeColor="text1"/>
          <w:spacing w:val="0"/>
          <w:kern w:val="0"/>
          <w:sz w:val="32"/>
          <w:szCs w:val="32"/>
          <w:lang w:val="en-US" w:eastAsia="zh-CN" w:bidi="ar-SA"/>
          <w14:textFill>
            <w14:solidFill>
              <w14:schemeClr w14:val="tx1"/>
            </w14:solidFill>
          </w14:textFill>
        </w:rPr>
      </w:pPr>
      <w:r>
        <w:rPr>
          <w:rFonts w:hint="eastAsia" w:ascii="仿宋_GB2312" w:hAnsi="仿宋" w:eastAsia="仿宋_GB2312" w:cs="Times New Roman"/>
          <w:kern w:val="2"/>
          <w:sz w:val="32"/>
          <w:szCs w:val="32"/>
          <w:lang w:val="en-US" w:eastAsia="zh-CN" w:bidi="ar"/>
        </w:rPr>
        <w:t>3.进贤县2021年引进高层次人才</w:t>
      </w:r>
      <w:r>
        <w:rPr>
          <w:rFonts w:hint="eastAsia" w:ascii="仿宋" w:hAnsi="仿宋" w:eastAsia="仿宋" w:cs="仿宋"/>
          <w:b w:val="0"/>
          <w:bCs w:val="0"/>
          <w:color w:val="000000" w:themeColor="text1"/>
          <w:spacing w:val="0"/>
          <w:kern w:val="0"/>
          <w:sz w:val="32"/>
          <w:szCs w:val="32"/>
          <w:lang w:val="en-US" w:eastAsia="zh-CN" w:bidi="ar-SA"/>
          <w14:textFill>
            <w14:solidFill>
              <w14:schemeClr w14:val="tx1"/>
            </w14:solidFill>
          </w14:textFill>
        </w:rPr>
        <w:t>《健康情况承诺书》</w:t>
      </w:r>
    </w:p>
    <w:p>
      <w:pPr>
        <w:pStyle w:val="2"/>
        <w:rPr>
          <w:rFonts w:hint="default" w:ascii="仿宋" w:hAnsi="仿宋" w:eastAsia="仿宋" w:cs="仿宋"/>
          <w:b w:val="0"/>
          <w:bCs w:val="0"/>
          <w:color w:val="000000" w:themeColor="text1"/>
          <w:spacing w:val="0"/>
          <w:kern w:val="0"/>
          <w:sz w:val="32"/>
          <w:szCs w:val="32"/>
          <w:lang w:val="en-US" w:eastAsia="zh-CN" w:bidi="ar-SA"/>
          <w14:textFill>
            <w14:solidFill>
              <w14:schemeClr w14:val="tx1"/>
            </w14:solidFill>
          </w14:textFill>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tbl>
      <w:tblPr>
        <w:tblStyle w:val="8"/>
        <w:tblW w:w="9137" w:type="dxa"/>
        <w:tblInd w:w="0" w:type="dxa"/>
        <w:shd w:val="clear" w:color="auto" w:fill="auto"/>
        <w:tblLayout w:type="fixed"/>
        <w:tblCellMar>
          <w:top w:w="0" w:type="dxa"/>
          <w:left w:w="0" w:type="dxa"/>
          <w:bottom w:w="0" w:type="dxa"/>
          <w:right w:w="0" w:type="dxa"/>
        </w:tblCellMar>
      </w:tblPr>
      <w:tblGrid>
        <w:gridCol w:w="1764"/>
        <w:gridCol w:w="1473"/>
        <w:gridCol w:w="1400"/>
        <w:gridCol w:w="1350"/>
        <w:gridCol w:w="1283"/>
        <w:gridCol w:w="899"/>
        <w:gridCol w:w="968"/>
      </w:tblGrid>
      <w:tr>
        <w:tblPrEx>
          <w:shd w:val="clear" w:color="auto" w:fill="auto"/>
          <w:tblCellMar>
            <w:top w:w="0" w:type="dxa"/>
            <w:left w:w="0" w:type="dxa"/>
            <w:bottom w:w="0" w:type="dxa"/>
            <w:right w:w="0" w:type="dxa"/>
          </w:tblCellMar>
        </w:tblPrEx>
        <w:trPr>
          <w:trHeight w:val="408" w:hRule="atLeast"/>
        </w:trPr>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附件1</w:t>
            </w:r>
          </w:p>
        </w:tc>
        <w:tc>
          <w:tcPr>
            <w:tcW w:w="1473" w:type="dxa"/>
            <w:tcBorders>
              <w:top w:val="nil"/>
              <w:left w:val="nil"/>
              <w:bottom w:val="nil"/>
              <w:right w:val="nil"/>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2"/>
                <w:szCs w:val="22"/>
                <w:u w:val="none"/>
              </w:rPr>
            </w:pPr>
          </w:p>
        </w:tc>
        <w:tc>
          <w:tcPr>
            <w:tcW w:w="1400" w:type="dxa"/>
            <w:tcBorders>
              <w:top w:val="nil"/>
              <w:left w:val="nil"/>
              <w:bottom w:val="nil"/>
              <w:right w:val="nil"/>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2"/>
                <w:szCs w:val="22"/>
                <w:u w:val="none"/>
              </w:rPr>
            </w:pPr>
          </w:p>
        </w:tc>
        <w:tc>
          <w:tcPr>
            <w:tcW w:w="1350" w:type="dxa"/>
            <w:tcBorders>
              <w:top w:val="nil"/>
              <w:left w:val="nil"/>
              <w:bottom w:val="nil"/>
              <w:right w:val="nil"/>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2"/>
                <w:szCs w:val="22"/>
                <w:u w:val="none"/>
              </w:rPr>
            </w:pPr>
          </w:p>
        </w:tc>
        <w:tc>
          <w:tcPr>
            <w:tcW w:w="1283" w:type="dxa"/>
            <w:tcBorders>
              <w:top w:val="nil"/>
              <w:left w:val="nil"/>
              <w:bottom w:val="nil"/>
              <w:right w:val="nil"/>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2"/>
                <w:szCs w:val="22"/>
                <w:u w:val="none"/>
              </w:rPr>
            </w:pPr>
          </w:p>
        </w:tc>
        <w:tc>
          <w:tcPr>
            <w:tcW w:w="899" w:type="dxa"/>
            <w:tcBorders>
              <w:top w:val="nil"/>
              <w:left w:val="nil"/>
              <w:bottom w:val="nil"/>
              <w:right w:val="nil"/>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2"/>
                <w:szCs w:val="22"/>
                <w:u w:val="none"/>
              </w:rPr>
            </w:pPr>
          </w:p>
        </w:tc>
        <w:tc>
          <w:tcPr>
            <w:tcW w:w="968" w:type="dxa"/>
            <w:tcBorders>
              <w:top w:val="nil"/>
              <w:left w:val="nil"/>
              <w:bottom w:val="nil"/>
              <w:right w:val="nil"/>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00" w:hRule="atLeast"/>
        </w:trPr>
        <w:tc>
          <w:tcPr>
            <w:tcW w:w="9137"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40"/>
                <w:szCs w:val="40"/>
                <w:u w:val="none"/>
              </w:rPr>
            </w:pPr>
            <w:r>
              <w:rPr>
                <w:rFonts w:hint="eastAsia" w:ascii="黑体" w:hAnsi="宋体" w:eastAsia="黑体" w:cs="黑体"/>
                <w:i w:val="0"/>
                <w:color w:val="000000"/>
                <w:kern w:val="0"/>
                <w:sz w:val="40"/>
                <w:szCs w:val="40"/>
                <w:u w:val="none"/>
                <w:lang w:val="en-US" w:eastAsia="zh-CN" w:bidi="ar"/>
              </w:rPr>
              <w:t>进贤县2021年引进高层次人才计划表</w:t>
            </w:r>
          </w:p>
        </w:tc>
      </w:tr>
      <w:tr>
        <w:tblPrEx>
          <w:shd w:val="clear" w:color="auto" w:fill="auto"/>
          <w:tblCellMar>
            <w:top w:w="0" w:type="dxa"/>
            <w:left w:w="0" w:type="dxa"/>
            <w:bottom w:w="0" w:type="dxa"/>
            <w:right w:w="0" w:type="dxa"/>
          </w:tblCellMar>
        </w:tblPrEx>
        <w:trPr>
          <w:trHeight w:val="202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481330</wp:posOffset>
                  </wp:positionH>
                  <wp:positionV relativeFrom="paragraph">
                    <wp:posOffset>175260</wp:posOffset>
                  </wp:positionV>
                  <wp:extent cx="548640" cy="335280"/>
                  <wp:effectExtent l="0" t="0" r="3810" b="7620"/>
                  <wp:wrapNone/>
                  <wp:docPr id="5" name="图片_2"/>
                  <wp:cNvGraphicFramePr/>
                  <a:graphic xmlns:a="http://schemas.openxmlformats.org/drawingml/2006/main">
                    <a:graphicData uri="http://schemas.openxmlformats.org/drawingml/2006/picture">
                      <pic:pic xmlns:pic="http://schemas.openxmlformats.org/drawingml/2006/picture">
                        <pic:nvPicPr>
                          <pic:cNvPr id="5" name="图片_2"/>
                          <pic:cNvPicPr/>
                        </pic:nvPicPr>
                        <pic:blipFill>
                          <a:blip r:embed="rId6"/>
                          <a:stretch>
                            <a:fillRect/>
                          </a:stretch>
                        </pic:blipFill>
                        <pic:spPr>
                          <a:xfrm>
                            <a:off x="0" y="0"/>
                            <a:ext cx="548640" cy="335280"/>
                          </a:xfrm>
                          <a:prstGeom prst="rect">
                            <a:avLst/>
                          </a:prstGeom>
                          <a:noFill/>
                          <a:ln>
                            <a:noFill/>
                          </a:ln>
                        </pic:spPr>
                      </pic:pic>
                    </a:graphicData>
                  </a:graphic>
                </wp:anchor>
              </w:drawing>
            </w:r>
            <w:r>
              <w:rPr>
                <w:rFonts w:hint="eastAsia" w:ascii="黑体" w:hAnsi="宋体" w:eastAsia="黑体" w:cs="黑体"/>
                <w:i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wp:posOffset>
                  </wp:positionH>
                  <wp:positionV relativeFrom="paragraph">
                    <wp:posOffset>647700</wp:posOffset>
                  </wp:positionV>
                  <wp:extent cx="449580" cy="228600"/>
                  <wp:effectExtent l="0" t="0" r="7620" b="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r:embed="rId7"/>
                          <a:stretch>
                            <a:fillRect/>
                          </a:stretch>
                        </pic:blipFill>
                        <pic:spPr>
                          <a:xfrm>
                            <a:off x="0" y="0"/>
                            <a:ext cx="449580" cy="228600"/>
                          </a:xfrm>
                          <a:prstGeom prst="rect">
                            <a:avLst/>
                          </a:prstGeom>
                          <a:noFill/>
                          <a:ln>
                            <a:noFill/>
                          </a:ln>
                        </pic:spPr>
                      </pic:pic>
                    </a:graphicData>
                  </a:graphic>
                </wp:anchor>
              </w:drawing>
            </w:r>
            <w:r>
              <w:rPr>
                <w:rFonts w:hint="eastAsia" w:ascii="黑体" w:hAnsi="宋体" w:eastAsia="黑体" w:cs="黑体"/>
                <w:i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-15240</wp:posOffset>
                  </wp:positionH>
                  <wp:positionV relativeFrom="paragraph">
                    <wp:posOffset>-13335</wp:posOffset>
                  </wp:positionV>
                  <wp:extent cx="1128395" cy="1313815"/>
                  <wp:effectExtent l="0" t="0" r="14605" b="635"/>
                  <wp:wrapNone/>
                  <wp:docPr id="3" name="直接连接符_6"/>
                  <wp:cNvGraphicFramePr/>
                  <a:graphic xmlns:a="http://schemas.openxmlformats.org/drawingml/2006/main">
                    <a:graphicData uri="http://schemas.openxmlformats.org/drawingml/2006/picture">
                      <pic:pic xmlns:pic="http://schemas.openxmlformats.org/drawingml/2006/picture">
                        <pic:nvPicPr>
                          <pic:cNvPr id="3" name="直接连接符_6"/>
                          <pic:cNvPicPr/>
                        </pic:nvPicPr>
                        <pic:blipFill>
                          <a:blip r:embed="rId8"/>
                          <a:stretch>
                            <a:fillRect/>
                          </a:stretch>
                        </pic:blipFill>
                        <pic:spPr>
                          <a:xfrm>
                            <a:off x="0" y="0"/>
                            <a:ext cx="1128395" cy="1313815"/>
                          </a:xfrm>
                          <a:prstGeom prst="rect">
                            <a:avLst/>
                          </a:prstGeom>
                          <a:noFill/>
                          <a:ln>
                            <a:noFill/>
                          </a:ln>
                        </pic:spPr>
                      </pic:pic>
                    </a:graphicData>
                  </a:graphic>
                </wp:anchor>
              </w:drawing>
            </w:r>
            <w:r>
              <w:rPr>
                <w:rFonts w:hint="eastAsia" w:ascii="黑体" w:hAnsi="宋体" w:eastAsia="黑体" w:cs="黑体"/>
                <w:i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15875</wp:posOffset>
                  </wp:positionH>
                  <wp:positionV relativeFrom="paragraph">
                    <wp:posOffset>1022985</wp:posOffset>
                  </wp:positionV>
                  <wp:extent cx="518795" cy="251460"/>
                  <wp:effectExtent l="0" t="0" r="14605" b="15240"/>
                  <wp:wrapNone/>
                  <wp:docPr id="2" name="图片_3"/>
                  <wp:cNvGraphicFramePr/>
                  <a:graphic xmlns:a="http://schemas.openxmlformats.org/drawingml/2006/main">
                    <a:graphicData uri="http://schemas.openxmlformats.org/drawingml/2006/picture">
                      <pic:pic xmlns:pic="http://schemas.openxmlformats.org/drawingml/2006/picture">
                        <pic:nvPicPr>
                          <pic:cNvPr id="2" name="图片_3"/>
                          <pic:cNvPicPr/>
                        </pic:nvPicPr>
                        <pic:blipFill>
                          <a:blip r:embed="rId9"/>
                          <a:stretch>
                            <a:fillRect/>
                          </a:stretch>
                        </pic:blipFill>
                        <pic:spPr>
                          <a:xfrm>
                            <a:off x="0" y="0"/>
                            <a:ext cx="518795" cy="251460"/>
                          </a:xfrm>
                          <a:prstGeom prst="rect">
                            <a:avLst/>
                          </a:prstGeom>
                          <a:noFill/>
                          <a:ln>
                            <a:noFill/>
                          </a:ln>
                        </pic:spPr>
                      </pic:pic>
                    </a:graphicData>
                  </a:graphic>
                </wp:anchor>
              </w:drawing>
            </w:r>
            <w:r>
              <w:rPr>
                <w:rFonts w:hint="eastAsia" w:ascii="黑体" w:hAnsi="宋体" w:eastAsia="黑体" w:cs="黑体"/>
                <w:i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1270</wp:posOffset>
                  </wp:positionH>
                  <wp:positionV relativeFrom="paragraph">
                    <wp:posOffset>829945</wp:posOffset>
                  </wp:positionV>
                  <wp:extent cx="1096010" cy="472440"/>
                  <wp:effectExtent l="0" t="0" r="8890" b="3810"/>
                  <wp:wrapNone/>
                  <wp:docPr id="1" name="直接连接符_7"/>
                  <wp:cNvGraphicFramePr/>
                  <a:graphic xmlns:a="http://schemas.openxmlformats.org/drawingml/2006/main">
                    <a:graphicData uri="http://schemas.openxmlformats.org/drawingml/2006/picture">
                      <pic:pic xmlns:pic="http://schemas.openxmlformats.org/drawingml/2006/picture">
                        <pic:nvPicPr>
                          <pic:cNvPr id="1" name="直接连接符_7"/>
                          <pic:cNvPicPr/>
                        </pic:nvPicPr>
                        <pic:blipFill>
                          <a:blip r:embed="rId10"/>
                          <a:stretch>
                            <a:fillRect/>
                          </a:stretch>
                        </pic:blipFill>
                        <pic:spPr>
                          <a:xfrm>
                            <a:off x="0" y="0"/>
                            <a:ext cx="1096010" cy="472440"/>
                          </a:xfrm>
                          <a:prstGeom prst="rect">
                            <a:avLst/>
                          </a:prstGeom>
                          <a:noFill/>
                          <a:ln>
                            <a:noFill/>
                          </a:ln>
                        </pic:spPr>
                      </pic:pic>
                    </a:graphicData>
                  </a:graphic>
                </wp:anchor>
              </w:drawing>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进贤一中</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进贤二中</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进贤三中</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李渡中学</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合计</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备注</w:t>
            </w:r>
          </w:p>
        </w:tc>
      </w:tr>
      <w:tr>
        <w:tblPrEx>
          <w:tblCellMar>
            <w:top w:w="0" w:type="dxa"/>
            <w:left w:w="0" w:type="dxa"/>
            <w:bottom w:w="0" w:type="dxa"/>
            <w:right w:w="0" w:type="dxa"/>
          </w:tblCellMar>
        </w:tblPrEx>
        <w:trPr>
          <w:trHeight w:val="348"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高中语文</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6</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348"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高中数学</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6</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r>
      <w:tr>
        <w:tblPrEx>
          <w:shd w:val="clear" w:color="auto" w:fill="auto"/>
          <w:tblCellMar>
            <w:top w:w="0" w:type="dxa"/>
            <w:left w:w="0" w:type="dxa"/>
            <w:bottom w:w="0" w:type="dxa"/>
            <w:right w:w="0" w:type="dxa"/>
          </w:tblCellMar>
        </w:tblPrEx>
        <w:trPr>
          <w:trHeight w:val="348"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高中英语</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348"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高中物理</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3</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8</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348"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高中化学</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3</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7</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r>
      <w:tr>
        <w:tblPrEx>
          <w:shd w:val="clear" w:color="auto" w:fill="auto"/>
          <w:tblCellMar>
            <w:top w:w="0" w:type="dxa"/>
            <w:left w:w="0" w:type="dxa"/>
            <w:bottom w:w="0" w:type="dxa"/>
            <w:right w:w="0" w:type="dxa"/>
          </w:tblCellMar>
        </w:tblPrEx>
        <w:trPr>
          <w:trHeight w:val="348"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高中生物</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5</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348"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高中政治</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348"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高中美术</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348"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高中历史</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348"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高中地理</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348"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高中体育</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348"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高中音乐</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lang w:val="en-US" w:eastAsia="zh-CN"/>
              </w:rPr>
            </w:pPr>
          </w:p>
        </w:tc>
      </w:tr>
      <w:tr>
        <w:tblPrEx>
          <w:tblCellMar>
            <w:top w:w="0" w:type="dxa"/>
            <w:left w:w="0" w:type="dxa"/>
            <w:bottom w:w="0" w:type="dxa"/>
            <w:right w:w="0" w:type="dxa"/>
          </w:tblCellMar>
        </w:tblPrEx>
        <w:trPr>
          <w:trHeight w:val="348"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高中心理健康</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348"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总计</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10</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5</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50</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8"/>
                <w:szCs w:val="28"/>
                <w:u w:val="none"/>
              </w:rPr>
            </w:pPr>
          </w:p>
        </w:tc>
      </w:tr>
    </w:tbl>
    <w:p>
      <w:pPr>
        <w:rPr>
          <w:rFonts w:hint="eastAsia" w:ascii="黑体" w:hAnsi="黑体" w:eastAsia="黑体"/>
          <w:kern w:val="0"/>
          <w:szCs w:val="32"/>
        </w:rPr>
      </w:pPr>
    </w:p>
    <w:p>
      <w:pPr>
        <w:pStyle w:val="2"/>
        <w:rPr>
          <w:rFonts w:hint="eastAsia"/>
        </w:rPr>
      </w:pPr>
    </w:p>
    <w:p>
      <w:pPr>
        <w:pStyle w:val="2"/>
        <w:rPr>
          <w:rFonts w:hint="eastAsia"/>
        </w:rPr>
      </w:pPr>
    </w:p>
    <w:p>
      <w:pPr>
        <w:rPr>
          <w:rFonts w:ascii="黑体" w:hAnsi="黑体" w:eastAsia="黑体"/>
          <w:kern w:val="0"/>
          <w:szCs w:val="32"/>
        </w:rPr>
      </w:pPr>
      <w:r>
        <w:rPr>
          <w:rFonts w:hint="eastAsia" w:ascii="黑体" w:hAnsi="黑体" w:eastAsia="黑体"/>
          <w:kern w:val="0"/>
          <w:szCs w:val="32"/>
        </w:rPr>
        <w:t>附件2</w:t>
      </w:r>
    </w:p>
    <w:p>
      <w:pPr>
        <w:autoSpaceDN w:val="0"/>
        <w:spacing w:line="600" w:lineRule="exact"/>
        <w:jc w:val="center"/>
        <w:rPr>
          <w:rFonts w:ascii="黑体" w:hAnsi="黑体" w:eastAsia="黑体"/>
          <w:kern w:val="0"/>
          <w:sz w:val="36"/>
          <w:szCs w:val="36"/>
        </w:rPr>
      </w:pPr>
      <w:r>
        <w:rPr>
          <w:rFonts w:hint="eastAsia" w:ascii="方正小标宋简体" w:hAnsi="黑体" w:eastAsia="方正小标宋简体"/>
          <w:kern w:val="0"/>
          <w:sz w:val="44"/>
          <w:szCs w:val="44"/>
        </w:rPr>
        <w:t>进贤县202</w:t>
      </w:r>
      <w:r>
        <w:rPr>
          <w:rFonts w:hint="eastAsia" w:ascii="方正小标宋简体" w:hAnsi="黑体" w:eastAsia="方正小标宋简体"/>
          <w:kern w:val="0"/>
          <w:sz w:val="44"/>
          <w:szCs w:val="44"/>
          <w:lang w:val="en-US" w:eastAsia="zh-CN"/>
        </w:rPr>
        <w:t>1</w:t>
      </w:r>
      <w:r>
        <w:rPr>
          <w:rFonts w:hint="eastAsia" w:ascii="方正小标宋简体" w:hAnsi="黑体" w:eastAsia="方正小标宋简体"/>
          <w:kern w:val="0"/>
          <w:sz w:val="44"/>
          <w:szCs w:val="44"/>
        </w:rPr>
        <w:t>年引进高层次人才报名表</w:t>
      </w:r>
    </w:p>
    <w:p>
      <w:pPr>
        <w:autoSpaceDN w:val="0"/>
        <w:spacing w:line="500" w:lineRule="atLeast"/>
        <w:ind w:left="-576" w:leftChars="-180" w:right="-397" w:rightChars="-124"/>
        <w:rPr>
          <w:rFonts w:ascii="仿宋_GB2312" w:hAnsi="仿宋" w:eastAsia="仿宋_GB2312"/>
          <w:kern w:val="0"/>
          <w:sz w:val="28"/>
          <w:szCs w:val="28"/>
        </w:rPr>
      </w:pPr>
      <w:r>
        <w:rPr>
          <w:rFonts w:hint="eastAsia" w:ascii="仿宋_GB2312" w:hAnsi="仿宋" w:eastAsia="仿宋_GB2312"/>
          <w:kern w:val="0"/>
          <w:sz w:val="28"/>
          <w:szCs w:val="28"/>
        </w:rPr>
        <w:t>单位：进贤县                             报名时间：202</w:t>
      </w:r>
      <w:r>
        <w:rPr>
          <w:rFonts w:hint="eastAsia" w:ascii="仿宋_GB2312" w:hAnsi="仿宋" w:eastAsia="仿宋_GB2312"/>
          <w:kern w:val="0"/>
          <w:sz w:val="28"/>
          <w:szCs w:val="28"/>
          <w:lang w:val="en-US" w:eastAsia="zh-CN"/>
        </w:rPr>
        <w:t>1</w:t>
      </w:r>
      <w:r>
        <w:rPr>
          <w:rFonts w:hint="eastAsia" w:ascii="仿宋_GB2312" w:hAnsi="仿宋" w:eastAsia="仿宋_GB2312"/>
          <w:kern w:val="0"/>
          <w:sz w:val="28"/>
          <w:szCs w:val="28"/>
        </w:rPr>
        <w:t>年   月   日</w:t>
      </w:r>
    </w:p>
    <w:tbl>
      <w:tblPr>
        <w:tblStyle w:val="8"/>
        <w:tblW w:w="10207" w:type="dxa"/>
        <w:tblInd w:w="-601"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702"/>
        <w:gridCol w:w="1275"/>
        <w:gridCol w:w="1397"/>
        <w:gridCol w:w="1417"/>
        <w:gridCol w:w="1560"/>
        <w:gridCol w:w="992"/>
        <w:gridCol w:w="186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702" w:type="dxa"/>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姓  名</w:t>
            </w:r>
          </w:p>
        </w:tc>
        <w:tc>
          <w:tcPr>
            <w:tcW w:w="1275" w:type="dxa"/>
            <w:vAlign w:val="center"/>
          </w:tcPr>
          <w:p>
            <w:pPr>
              <w:autoSpaceDN w:val="0"/>
              <w:spacing w:line="500" w:lineRule="atLeast"/>
              <w:jc w:val="center"/>
              <w:rPr>
                <w:rFonts w:ascii="仿宋_GB2312" w:hAnsi="仿宋" w:eastAsia="仿宋_GB2312"/>
                <w:spacing w:val="-6"/>
                <w:kern w:val="0"/>
                <w:sz w:val="28"/>
                <w:szCs w:val="28"/>
              </w:rPr>
            </w:pPr>
          </w:p>
        </w:tc>
        <w:tc>
          <w:tcPr>
            <w:tcW w:w="1397" w:type="dxa"/>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性  别</w:t>
            </w:r>
          </w:p>
        </w:tc>
        <w:tc>
          <w:tcPr>
            <w:tcW w:w="1417" w:type="dxa"/>
            <w:vAlign w:val="center"/>
          </w:tcPr>
          <w:p>
            <w:pPr>
              <w:autoSpaceDN w:val="0"/>
              <w:spacing w:line="500" w:lineRule="atLeast"/>
              <w:jc w:val="center"/>
              <w:rPr>
                <w:rFonts w:ascii="仿宋_GB2312" w:hAnsi="仿宋" w:eastAsia="仿宋_GB2312"/>
                <w:spacing w:val="-6"/>
                <w:kern w:val="0"/>
                <w:sz w:val="28"/>
                <w:szCs w:val="28"/>
              </w:rPr>
            </w:pPr>
          </w:p>
        </w:tc>
        <w:tc>
          <w:tcPr>
            <w:tcW w:w="1560" w:type="dxa"/>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民  族</w:t>
            </w:r>
          </w:p>
        </w:tc>
        <w:tc>
          <w:tcPr>
            <w:tcW w:w="992" w:type="dxa"/>
            <w:vAlign w:val="center"/>
          </w:tcPr>
          <w:p>
            <w:pPr>
              <w:autoSpaceDN w:val="0"/>
              <w:spacing w:line="500" w:lineRule="atLeast"/>
              <w:jc w:val="center"/>
              <w:rPr>
                <w:rFonts w:ascii="仿宋_GB2312" w:hAnsi="仿宋" w:eastAsia="仿宋_GB2312"/>
                <w:spacing w:val="-6"/>
                <w:kern w:val="0"/>
                <w:sz w:val="28"/>
                <w:szCs w:val="28"/>
              </w:rPr>
            </w:pPr>
          </w:p>
        </w:tc>
        <w:tc>
          <w:tcPr>
            <w:tcW w:w="1864" w:type="dxa"/>
            <w:vMerge w:val="restart"/>
            <w:vAlign w:val="center"/>
          </w:tcPr>
          <w:p>
            <w:pPr>
              <w:autoSpaceDN w:val="0"/>
              <w:spacing w:line="500" w:lineRule="atLeast"/>
              <w:jc w:val="center"/>
              <w:rPr>
                <w:rFonts w:ascii="仿宋_GB2312" w:hAnsi="仿宋" w:eastAsia="仿宋_GB2312"/>
                <w:kern w:val="0"/>
                <w:sz w:val="28"/>
                <w:szCs w:val="28"/>
              </w:rPr>
            </w:pPr>
            <w:r>
              <w:rPr>
                <w:rFonts w:hint="eastAsia" w:ascii="仿宋_GB2312" w:hAnsi="仿宋" w:eastAsia="仿宋_GB2312"/>
                <w:kern w:val="0"/>
                <w:sz w:val="28"/>
                <w:szCs w:val="28"/>
              </w:rPr>
              <w:t>照片</w:t>
            </w:r>
          </w:p>
          <w:p>
            <w:pPr>
              <w:autoSpaceDN w:val="0"/>
              <w:spacing w:line="500" w:lineRule="atLeast"/>
              <w:jc w:val="center"/>
              <w:rPr>
                <w:rFonts w:ascii="仿宋_GB2312" w:hAnsi="仿宋" w:eastAsia="仿宋_GB2312"/>
                <w:kern w:val="0"/>
                <w:sz w:val="28"/>
                <w:szCs w:val="28"/>
              </w:rPr>
            </w:pPr>
            <w:r>
              <w:rPr>
                <w:rFonts w:hint="eastAsia" w:ascii="仿宋_GB2312" w:hAnsi="仿宋" w:eastAsia="仿宋_GB2312"/>
                <w:kern w:val="0"/>
                <w:sz w:val="28"/>
                <w:szCs w:val="28"/>
              </w:rPr>
              <w:t>（小2寸）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702" w:type="dxa"/>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出生年月</w:t>
            </w:r>
          </w:p>
        </w:tc>
        <w:tc>
          <w:tcPr>
            <w:tcW w:w="1275" w:type="dxa"/>
            <w:vAlign w:val="center"/>
          </w:tcPr>
          <w:p>
            <w:pPr>
              <w:autoSpaceDN w:val="0"/>
              <w:spacing w:line="500" w:lineRule="atLeast"/>
              <w:jc w:val="center"/>
              <w:rPr>
                <w:rFonts w:ascii="仿宋_GB2312" w:hAnsi="仿宋" w:eastAsia="仿宋_GB2312"/>
                <w:spacing w:val="-6"/>
                <w:kern w:val="0"/>
                <w:sz w:val="28"/>
                <w:szCs w:val="28"/>
              </w:rPr>
            </w:pPr>
          </w:p>
        </w:tc>
        <w:tc>
          <w:tcPr>
            <w:tcW w:w="1397" w:type="dxa"/>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籍  贯</w:t>
            </w:r>
          </w:p>
        </w:tc>
        <w:tc>
          <w:tcPr>
            <w:tcW w:w="1417" w:type="dxa"/>
            <w:vAlign w:val="center"/>
          </w:tcPr>
          <w:p>
            <w:pPr>
              <w:autoSpaceDN w:val="0"/>
              <w:spacing w:line="500" w:lineRule="atLeast"/>
              <w:jc w:val="center"/>
              <w:rPr>
                <w:rFonts w:ascii="仿宋_GB2312" w:hAnsi="仿宋" w:eastAsia="仿宋_GB2312"/>
                <w:spacing w:val="-6"/>
                <w:kern w:val="0"/>
                <w:sz w:val="28"/>
                <w:szCs w:val="28"/>
              </w:rPr>
            </w:pPr>
          </w:p>
        </w:tc>
        <w:tc>
          <w:tcPr>
            <w:tcW w:w="1560" w:type="dxa"/>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政治面貌</w:t>
            </w:r>
          </w:p>
        </w:tc>
        <w:tc>
          <w:tcPr>
            <w:tcW w:w="992" w:type="dxa"/>
            <w:vAlign w:val="center"/>
          </w:tcPr>
          <w:p>
            <w:pPr>
              <w:autoSpaceDN w:val="0"/>
              <w:spacing w:line="500" w:lineRule="atLeast"/>
              <w:jc w:val="center"/>
              <w:rPr>
                <w:rFonts w:ascii="仿宋_GB2312" w:hAnsi="仿宋" w:eastAsia="仿宋_GB2312"/>
                <w:spacing w:val="-6"/>
                <w:kern w:val="0"/>
                <w:sz w:val="28"/>
                <w:szCs w:val="28"/>
              </w:rPr>
            </w:pPr>
          </w:p>
        </w:tc>
        <w:tc>
          <w:tcPr>
            <w:tcW w:w="1864" w:type="dxa"/>
            <w:vMerge w:val="continue"/>
            <w:vAlign w:val="center"/>
          </w:tcPr>
          <w:p>
            <w:pPr>
              <w:autoSpaceDN w:val="0"/>
              <w:spacing w:line="500" w:lineRule="atLeast"/>
              <w:jc w:val="center"/>
              <w:rPr>
                <w:rFonts w:ascii="仿宋_GB2312" w:hAnsi="仿宋" w:eastAsia="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702" w:type="dxa"/>
            <w:vAlign w:val="center"/>
          </w:tcPr>
          <w:p>
            <w:pPr>
              <w:autoSpaceDN w:val="0"/>
              <w:spacing w:line="400" w:lineRule="exac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研究生</w:t>
            </w:r>
          </w:p>
          <w:p>
            <w:pPr>
              <w:autoSpaceDN w:val="0"/>
              <w:spacing w:line="400" w:lineRule="exac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毕业学校</w:t>
            </w:r>
          </w:p>
        </w:tc>
        <w:tc>
          <w:tcPr>
            <w:tcW w:w="1275" w:type="dxa"/>
            <w:vAlign w:val="center"/>
          </w:tcPr>
          <w:p>
            <w:pPr>
              <w:autoSpaceDN w:val="0"/>
              <w:spacing w:line="500" w:lineRule="atLeast"/>
              <w:jc w:val="center"/>
              <w:rPr>
                <w:rFonts w:ascii="仿宋_GB2312" w:hAnsi="仿宋" w:eastAsia="仿宋_GB2312"/>
                <w:spacing w:val="-6"/>
                <w:kern w:val="0"/>
                <w:sz w:val="28"/>
                <w:szCs w:val="28"/>
              </w:rPr>
            </w:pPr>
          </w:p>
        </w:tc>
        <w:tc>
          <w:tcPr>
            <w:tcW w:w="1397" w:type="dxa"/>
            <w:vAlign w:val="center"/>
          </w:tcPr>
          <w:p>
            <w:pPr>
              <w:autoSpaceDN w:val="0"/>
              <w:spacing w:line="400" w:lineRule="exac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研究生</w:t>
            </w:r>
          </w:p>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毕业时间</w:t>
            </w:r>
          </w:p>
        </w:tc>
        <w:tc>
          <w:tcPr>
            <w:tcW w:w="1417" w:type="dxa"/>
            <w:vAlign w:val="center"/>
          </w:tcPr>
          <w:p>
            <w:pPr>
              <w:autoSpaceDN w:val="0"/>
              <w:spacing w:line="500" w:lineRule="atLeast"/>
              <w:jc w:val="center"/>
              <w:rPr>
                <w:rFonts w:ascii="仿宋_GB2312" w:hAnsi="仿宋" w:eastAsia="仿宋_GB2312"/>
                <w:spacing w:val="-6"/>
                <w:kern w:val="0"/>
                <w:sz w:val="28"/>
                <w:szCs w:val="28"/>
              </w:rPr>
            </w:pPr>
          </w:p>
        </w:tc>
        <w:tc>
          <w:tcPr>
            <w:tcW w:w="1560" w:type="dxa"/>
            <w:vAlign w:val="center"/>
          </w:tcPr>
          <w:p>
            <w:pPr>
              <w:autoSpaceDN w:val="0"/>
              <w:spacing w:line="400" w:lineRule="exac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研究生</w:t>
            </w:r>
          </w:p>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所学专业</w:t>
            </w:r>
          </w:p>
        </w:tc>
        <w:tc>
          <w:tcPr>
            <w:tcW w:w="992" w:type="dxa"/>
            <w:vAlign w:val="center"/>
          </w:tcPr>
          <w:p>
            <w:pPr>
              <w:autoSpaceDN w:val="0"/>
              <w:spacing w:line="500" w:lineRule="atLeast"/>
              <w:jc w:val="center"/>
              <w:rPr>
                <w:rFonts w:ascii="仿宋_GB2312" w:hAnsi="仿宋" w:eastAsia="仿宋_GB2312"/>
                <w:spacing w:val="-6"/>
                <w:kern w:val="0"/>
                <w:sz w:val="28"/>
                <w:szCs w:val="28"/>
              </w:rPr>
            </w:pPr>
          </w:p>
        </w:tc>
        <w:tc>
          <w:tcPr>
            <w:tcW w:w="1864" w:type="dxa"/>
            <w:vMerge w:val="continue"/>
            <w:vAlign w:val="center"/>
          </w:tcPr>
          <w:p>
            <w:pPr>
              <w:autoSpaceDN w:val="0"/>
              <w:spacing w:line="500" w:lineRule="atLeast"/>
              <w:jc w:val="center"/>
              <w:rPr>
                <w:rFonts w:ascii="仿宋_GB2312" w:hAnsi="仿宋" w:eastAsia="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702" w:type="dxa"/>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教师资格</w:t>
            </w:r>
          </w:p>
        </w:tc>
        <w:tc>
          <w:tcPr>
            <w:tcW w:w="1275" w:type="dxa"/>
            <w:vAlign w:val="center"/>
          </w:tcPr>
          <w:p>
            <w:pPr>
              <w:autoSpaceDN w:val="0"/>
              <w:spacing w:line="500" w:lineRule="atLeast"/>
              <w:jc w:val="center"/>
              <w:rPr>
                <w:rFonts w:ascii="仿宋_GB2312" w:hAnsi="仿宋" w:eastAsia="仿宋_GB2312"/>
                <w:spacing w:val="-6"/>
                <w:kern w:val="0"/>
                <w:sz w:val="28"/>
                <w:szCs w:val="28"/>
              </w:rPr>
            </w:pPr>
          </w:p>
        </w:tc>
        <w:tc>
          <w:tcPr>
            <w:tcW w:w="1397" w:type="dxa"/>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资格学科</w:t>
            </w:r>
          </w:p>
        </w:tc>
        <w:tc>
          <w:tcPr>
            <w:tcW w:w="1417" w:type="dxa"/>
            <w:vAlign w:val="center"/>
          </w:tcPr>
          <w:p>
            <w:pPr>
              <w:autoSpaceDN w:val="0"/>
              <w:spacing w:line="500" w:lineRule="atLeast"/>
              <w:jc w:val="center"/>
              <w:rPr>
                <w:rFonts w:ascii="仿宋_GB2312" w:hAnsi="仿宋" w:eastAsia="仿宋_GB2312"/>
                <w:spacing w:val="-6"/>
                <w:kern w:val="0"/>
                <w:sz w:val="28"/>
                <w:szCs w:val="28"/>
              </w:rPr>
            </w:pPr>
          </w:p>
        </w:tc>
        <w:tc>
          <w:tcPr>
            <w:tcW w:w="1560" w:type="dxa"/>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联系电话</w:t>
            </w:r>
          </w:p>
        </w:tc>
        <w:tc>
          <w:tcPr>
            <w:tcW w:w="2856" w:type="dxa"/>
            <w:gridSpan w:val="2"/>
            <w:vAlign w:val="center"/>
          </w:tcPr>
          <w:p>
            <w:pPr>
              <w:autoSpaceDN w:val="0"/>
              <w:spacing w:line="500" w:lineRule="atLeast"/>
              <w:jc w:val="center"/>
              <w:rPr>
                <w:rFonts w:ascii="仿宋_GB2312" w:hAnsi="仿宋" w:eastAsia="仿宋_GB2312"/>
                <w:spacing w:val="-6"/>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702" w:type="dxa"/>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报考岗位</w:t>
            </w:r>
          </w:p>
        </w:tc>
        <w:tc>
          <w:tcPr>
            <w:tcW w:w="2672" w:type="dxa"/>
            <w:gridSpan w:val="2"/>
            <w:vAlign w:val="center"/>
          </w:tcPr>
          <w:p>
            <w:pPr>
              <w:autoSpaceDN w:val="0"/>
              <w:spacing w:line="500" w:lineRule="atLeast"/>
              <w:jc w:val="center"/>
              <w:rPr>
                <w:rFonts w:ascii="仿宋_GB2312" w:hAnsi="仿宋" w:eastAsia="仿宋_GB2312"/>
                <w:spacing w:val="-6"/>
                <w:kern w:val="0"/>
                <w:sz w:val="28"/>
                <w:szCs w:val="28"/>
              </w:rPr>
            </w:pPr>
          </w:p>
        </w:tc>
        <w:tc>
          <w:tcPr>
            <w:tcW w:w="1417" w:type="dxa"/>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身份证号</w:t>
            </w:r>
          </w:p>
        </w:tc>
        <w:tc>
          <w:tcPr>
            <w:tcW w:w="4416" w:type="dxa"/>
            <w:gridSpan w:val="3"/>
            <w:vAlign w:val="center"/>
          </w:tcPr>
          <w:p>
            <w:pPr>
              <w:autoSpaceDN w:val="0"/>
              <w:spacing w:line="500" w:lineRule="atLeast"/>
              <w:jc w:val="center"/>
              <w:rPr>
                <w:rFonts w:ascii="仿宋_GB2312" w:hAnsi="仿宋" w:eastAsia="仿宋_GB2312"/>
                <w:spacing w:val="-6"/>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641" w:hRule="atLeast"/>
        </w:trPr>
        <w:tc>
          <w:tcPr>
            <w:tcW w:w="1702" w:type="dxa"/>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学习简历</w:t>
            </w:r>
          </w:p>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（高中填起）</w:t>
            </w:r>
          </w:p>
        </w:tc>
        <w:tc>
          <w:tcPr>
            <w:tcW w:w="8505" w:type="dxa"/>
            <w:gridSpan w:val="6"/>
            <w:vAlign w:val="center"/>
          </w:tcPr>
          <w:p>
            <w:pPr>
              <w:autoSpaceDN w:val="0"/>
              <w:spacing w:line="500" w:lineRule="atLeast"/>
              <w:jc w:val="center"/>
              <w:rPr>
                <w:rFonts w:ascii="仿宋_GB2312" w:hAnsi="仿宋" w:eastAsia="仿宋_GB2312"/>
                <w:b/>
                <w:spacing w:val="-6"/>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78" w:hRule="atLeast"/>
        </w:trPr>
        <w:tc>
          <w:tcPr>
            <w:tcW w:w="1702" w:type="dxa"/>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奖惩情况</w:t>
            </w:r>
          </w:p>
        </w:tc>
        <w:tc>
          <w:tcPr>
            <w:tcW w:w="8505" w:type="dxa"/>
            <w:gridSpan w:val="6"/>
            <w:vAlign w:val="center"/>
          </w:tcPr>
          <w:p>
            <w:pPr>
              <w:autoSpaceDN w:val="0"/>
              <w:spacing w:line="500" w:lineRule="atLeast"/>
              <w:jc w:val="center"/>
              <w:rPr>
                <w:rFonts w:ascii="仿宋_GB2312" w:hAnsi="仿宋" w:eastAsia="仿宋_GB2312"/>
                <w:b/>
                <w:spacing w:val="-6"/>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702" w:type="dxa"/>
            <w:vMerge w:val="restart"/>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家庭成员</w:t>
            </w:r>
          </w:p>
        </w:tc>
        <w:tc>
          <w:tcPr>
            <w:tcW w:w="1275" w:type="dxa"/>
            <w:vAlign w:val="center"/>
          </w:tcPr>
          <w:p>
            <w:pPr>
              <w:autoSpaceDN w:val="0"/>
              <w:spacing w:line="500" w:lineRule="exac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称谓</w:t>
            </w:r>
          </w:p>
        </w:tc>
        <w:tc>
          <w:tcPr>
            <w:tcW w:w="1397" w:type="dxa"/>
            <w:vAlign w:val="center"/>
          </w:tcPr>
          <w:p>
            <w:pPr>
              <w:autoSpaceDN w:val="0"/>
              <w:spacing w:line="500" w:lineRule="exac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姓名</w:t>
            </w:r>
          </w:p>
        </w:tc>
        <w:tc>
          <w:tcPr>
            <w:tcW w:w="2977" w:type="dxa"/>
            <w:gridSpan w:val="2"/>
            <w:vAlign w:val="center"/>
          </w:tcPr>
          <w:p>
            <w:pPr>
              <w:autoSpaceDN w:val="0"/>
              <w:spacing w:line="500" w:lineRule="exac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工作单位</w:t>
            </w:r>
          </w:p>
        </w:tc>
        <w:tc>
          <w:tcPr>
            <w:tcW w:w="2856" w:type="dxa"/>
            <w:gridSpan w:val="2"/>
            <w:vAlign w:val="center"/>
          </w:tcPr>
          <w:p>
            <w:pPr>
              <w:autoSpaceDN w:val="0"/>
              <w:spacing w:line="500" w:lineRule="exac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联系电话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702" w:type="dxa"/>
            <w:vMerge w:val="continue"/>
            <w:vAlign w:val="center"/>
          </w:tcPr>
          <w:p>
            <w:pPr>
              <w:autoSpaceDN w:val="0"/>
              <w:spacing w:line="500" w:lineRule="atLeast"/>
              <w:jc w:val="center"/>
              <w:rPr>
                <w:rFonts w:ascii="仿宋_GB2312" w:hAnsi="仿宋" w:eastAsia="仿宋_GB2312"/>
                <w:b/>
                <w:spacing w:val="-6"/>
                <w:kern w:val="0"/>
                <w:sz w:val="28"/>
                <w:szCs w:val="28"/>
              </w:rPr>
            </w:pPr>
          </w:p>
        </w:tc>
        <w:tc>
          <w:tcPr>
            <w:tcW w:w="1275" w:type="dxa"/>
            <w:vAlign w:val="center"/>
          </w:tcPr>
          <w:p>
            <w:pPr>
              <w:autoSpaceDN w:val="0"/>
              <w:spacing w:line="500" w:lineRule="exact"/>
              <w:jc w:val="center"/>
              <w:rPr>
                <w:rFonts w:ascii="仿宋_GB2312" w:hAnsi="仿宋" w:eastAsia="仿宋_GB2312"/>
                <w:b/>
                <w:spacing w:val="-6"/>
                <w:kern w:val="0"/>
                <w:sz w:val="28"/>
                <w:szCs w:val="28"/>
              </w:rPr>
            </w:pPr>
          </w:p>
        </w:tc>
        <w:tc>
          <w:tcPr>
            <w:tcW w:w="1397" w:type="dxa"/>
            <w:vAlign w:val="center"/>
          </w:tcPr>
          <w:p>
            <w:pPr>
              <w:autoSpaceDN w:val="0"/>
              <w:spacing w:line="500" w:lineRule="exact"/>
              <w:jc w:val="center"/>
              <w:rPr>
                <w:rFonts w:ascii="仿宋_GB2312" w:hAnsi="仿宋" w:eastAsia="仿宋_GB2312"/>
                <w:b/>
                <w:spacing w:val="-6"/>
                <w:kern w:val="0"/>
                <w:sz w:val="28"/>
                <w:szCs w:val="28"/>
              </w:rPr>
            </w:pPr>
          </w:p>
        </w:tc>
        <w:tc>
          <w:tcPr>
            <w:tcW w:w="2977" w:type="dxa"/>
            <w:gridSpan w:val="2"/>
            <w:vAlign w:val="center"/>
          </w:tcPr>
          <w:p>
            <w:pPr>
              <w:autoSpaceDN w:val="0"/>
              <w:spacing w:line="500" w:lineRule="exact"/>
              <w:jc w:val="center"/>
              <w:rPr>
                <w:rFonts w:ascii="仿宋_GB2312" w:hAnsi="仿宋" w:eastAsia="仿宋_GB2312"/>
                <w:b/>
                <w:spacing w:val="-6"/>
                <w:kern w:val="0"/>
                <w:sz w:val="28"/>
                <w:szCs w:val="28"/>
              </w:rPr>
            </w:pPr>
          </w:p>
        </w:tc>
        <w:tc>
          <w:tcPr>
            <w:tcW w:w="2856" w:type="dxa"/>
            <w:gridSpan w:val="2"/>
            <w:vAlign w:val="center"/>
          </w:tcPr>
          <w:p>
            <w:pPr>
              <w:autoSpaceDN w:val="0"/>
              <w:spacing w:line="500" w:lineRule="exact"/>
              <w:jc w:val="center"/>
              <w:rPr>
                <w:rFonts w:ascii="仿宋_GB2312" w:hAnsi="仿宋" w:eastAsia="仿宋_GB2312"/>
                <w:b/>
                <w:spacing w:val="-6"/>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702" w:type="dxa"/>
            <w:vMerge w:val="continue"/>
            <w:vAlign w:val="center"/>
          </w:tcPr>
          <w:p>
            <w:pPr>
              <w:autoSpaceDN w:val="0"/>
              <w:spacing w:line="500" w:lineRule="atLeast"/>
              <w:jc w:val="center"/>
              <w:rPr>
                <w:rFonts w:ascii="仿宋_GB2312" w:hAnsi="仿宋" w:eastAsia="仿宋_GB2312"/>
                <w:b/>
                <w:spacing w:val="-6"/>
                <w:kern w:val="0"/>
                <w:sz w:val="28"/>
                <w:szCs w:val="28"/>
              </w:rPr>
            </w:pPr>
          </w:p>
        </w:tc>
        <w:tc>
          <w:tcPr>
            <w:tcW w:w="1275" w:type="dxa"/>
            <w:vAlign w:val="center"/>
          </w:tcPr>
          <w:p>
            <w:pPr>
              <w:autoSpaceDN w:val="0"/>
              <w:spacing w:line="500" w:lineRule="exact"/>
              <w:jc w:val="center"/>
              <w:rPr>
                <w:rFonts w:ascii="仿宋_GB2312" w:hAnsi="仿宋" w:eastAsia="仿宋_GB2312"/>
                <w:b/>
                <w:spacing w:val="-6"/>
                <w:kern w:val="0"/>
                <w:sz w:val="28"/>
                <w:szCs w:val="28"/>
              </w:rPr>
            </w:pPr>
          </w:p>
        </w:tc>
        <w:tc>
          <w:tcPr>
            <w:tcW w:w="1397" w:type="dxa"/>
            <w:vAlign w:val="center"/>
          </w:tcPr>
          <w:p>
            <w:pPr>
              <w:autoSpaceDN w:val="0"/>
              <w:spacing w:line="500" w:lineRule="exact"/>
              <w:jc w:val="center"/>
              <w:rPr>
                <w:rFonts w:ascii="仿宋_GB2312" w:hAnsi="仿宋" w:eastAsia="仿宋_GB2312"/>
                <w:b/>
                <w:spacing w:val="-6"/>
                <w:kern w:val="0"/>
                <w:sz w:val="28"/>
                <w:szCs w:val="28"/>
              </w:rPr>
            </w:pPr>
          </w:p>
        </w:tc>
        <w:tc>
          <w:tcPr>
            <w:tcW w:w="2977" w:type="dxa"/>
            <w:gridSpan w:val="2"/>
            <w:vAlign w:val="center"/>
          </w:tcPr>
          <w:p>
            <w:pPr>
              <w:autoSpaceDN w:val="0"/>
              <w:spacing w:line="500" w:lineRule="exact"/>
              <w:jc w:val="center"/>
              <w:rPr>
                <w:rFonts w:ascii="仿宋_GB2312" w:hAnsi="仿宋" w:eastAsia="仿宋_GB2312"/>
                <w:b/>
                <w:spacing w:val="-6"/>
                <w:kern w:val="0"/>
                <w:sz w:val="28"/>
                <w:szCs w:val="28"/>
              </w:rPr>
            </w:pPr>
          </w:p>
        </w:tc>
        <w:tc>
          <w:tcPr>
            <w:tcW w:w="2856" w:type="dxa"/>
            <w:gridSpan w:val="2"/>
            <w:vAlign w:val="center"/>
          </w:tcPr>
          <w:p>
            <w:pPr>
              <w:autoSpaceDN w:val="0"/>
              <w:spacing w:line="500" w:lineRule="exact"/>
              <w:jc w:val="center"/>
              <w:rPr>
                <w:rFonts w:ascii="仿宋_GB2312" w:hAnsi="仿宋" w:eastAsia="仿宋_GB2312"/>
                <w:b/>
                <w:spacing w:val="-6"/>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702" w:type="dxa"/>
            <w:vMerge w:val="continue"/>
            <w:vAlign w:val="center"/>
          </w:tcPr>
          <w:p>
            <w:pPr>
              <w:autoSpaceDN w:val="0"/>
              <w:spacing w:line="500" w:lineRule="atLeast"/>
              <w:jc w:val="center"/>
              <w:rPr>
                <w:rFonts w:ascii="仿宋_GB2312" w:hAnsi="仿宋" w:eastAsia="仿宋_GB2312"/>
                <w:b/>
                <w:spacing w:val="-6"/>
                <w:kern w:val="0"/>
                <w:sz w:val="28"/>
                <w:szCs w:val="28"/>
              </w:rPr>
            </w:pPr>
          </w:p>
        </w:tc>
        <w:tc>
          <w:tcPr>
            <w:tcW w:w="1275" w:type="dxa"/>
            <w:vAlign w:val="center"/>
          </w:tcPr>
          <w:p>
            <w:pPr>
              <w:autoSpaceDN w:val="0"/>
              <w:spacing w:line="500" w:lineRule="exact"/>
              <w:jc w:val="center"/>
              <w:rPr>
                <w:rFonts w:ascii="仿宋_GB2312" w:hAnsi="仿宋" w:eastAsia="仿宋_GB2312"/>
                <w:b/>
                <w:spacing w:val="-6"/>
                <w:kern w:val="0"/>
                <w:sz w:val="28"/>
                <w:szCs w:val="28"/>
              </w:rPr>
            </w:pPr>
          </w:p>
        </w:tc>
        <w:tc>
          <w:tcPr>
            <w:tcW w:w="1397" w:type="dxa"/>
            <w:vAlign w:val="center"/>
          </w:tcPr>
          <w:p>
            <w:pPr>
              <w:autoSpaceDN w:val="0"/>
              <w:spacing w:line="500" w:lineRule="exact"/>
              <w:jc w:val="center"/>
              <w:rPr>
                <w:rFonts w:ascii="仿宋_GB2312" w:hAnsi="仿宋" w:eastAsia="仿宋_GB2312"/>
                <w:b/>
                <w:spacing w:val="-6"/>
                <w:kern w:val="0"/>
                <w:sz w:val="28"/>
                <w:szCs w:val="28"/>
              </w:rPr>
            </w:pPr>
          </w:p>
        </w:tc>
        <w:tc>
          <w:tcPr>
            <w:tcW w:w="2977" w:type="dxa"/>
            <w:gridSpan w:val="2"/>
            <w:vAlign w:val="center"/>
          </w:tcPr>
          <w:p>
            <w:pPr>
              <w:autoSpaceDN w:val="0"/>
              <w:spacing w:line="500" w:lineRule="exact"/>
              <w:jc w:val="center"/>
              <w:rPr>
                <w:rFonts w:ascii="仿宋_GB2312" w:hAnsi="仿宋" w:eastAsia="仿宋_GB2312"/>
                <w:b/>
                <w:spacing w:val="-6"/>
                <w:kern w:val="0"/>
                <w:sz w:val="28"/>
                <w:szCs w:val="28"/>
              </w:rPr>
            </w:pPr>
          </w:p>
        </w:tc>
        <w:tc>
          <w:tcPr>
            <w:tcW w:w="2856" w:type="dxa"/>
            <w:gridSpan w:val="2"/>
            <w:vAlign w:val="center"/>
          </w:tcPr>
          <w:p>
            <w:pPr>
              <w:autoSpaceDN w:val="0"/>
              <w:spacing w:line="500" w:lineRule="exact"/>
              <w:jc w:val="center"/>
              <w:rPr>
                <w:rFonts w:ascii="仿宋_GB2312" w:hAnsi="仿宋" w:eastAsia="仿宋_GB2312"/>
                <w:b/>
                <w:spacing w:val="-6"/>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1702" w:type="dxa"/>
            <w:vMerge w:val="continue"/>
            <w:vAlign w:val="center"/>
          </w:tcPr>
          <w:p>
            <w:pPr>
              <w:autoSpaceDN w:val="0"/>
              <w:spacing w:line="500" w:lineRule="atLeast"/>
              <w:jc w:val="center"/>
              <w:rPr>
                <w:rFonts w:ascii="仿宋_GB2312" w:hAnsi="仿宋" w:eastAsia="仿宋_GB2312"/>
                <w:b/>
                <w:spacing w:val="-6"/>
                <w:kern w:val="0"/>
                <w:sz w:val="28"/>
                <w:szCs w:val="28"/>
              </w:rPr>
            </w:pPr>
          </w:p>
        </w:tc>
        <w:tc>
          <w:tcPr>
            <w:tcW w:w="1275" w:type="dxa"/>
            <w:vAlign w:val="center"/>
          </w:tcPr>
          <w:p>
            <w:pPr>
              <w:autoSpaceDN w:val="0"/>
              <w:spacing w:line="500" w:lineRule="exact"/>
              <w:jc w:val="center"/>
              <w:rPr>
                <w:rFonts w:ascii="仿宋_GB2312" w:hAnsi="仿宋" w:eastAsia="仿宋_GB2312"/>
                <w:b/>
                <w:spacing w:val="-6"/>
                <w:kern w:val="0"/>
                <w:sz w:val="28"/>
                <w:szCs w:val="28"/>
              </w:rPr>
            </w:pPr>
          </w:p>
        </w:tc>
        <w:tc>
          <w:tcPr>
            <w:tcW w:w="1397" w:type="dxa"/>
            <w:vAlign w:val="center"/>
          </w:tcPr>
          <w:p>
            <w:pPr>
              <w:autoSpaceDN w:val="0"/>
              <w:spacing w:line="500" w:lineRule="exact"/>
              <w:jc w:val="center"/>
              <w:rPr>
                <w:rFonts w:ascii="仿宋_GB2312" w:hAnsi="仿宋" w:eastAsia="仿宋_GB2312"/>
                <w:b/>
                <w:spacing w:val="-6"/>
                <w:kern w:val="0"/>
                <w:sz w:val="28"/>
                <w:szCs w:val="28"/>
              </w:rPr>
            </w:pPr>
          </w:p>
        </w:tc>
        <w:tc>
          <w:tcPr>
            <w:tcW w:w="2977" w:type="dxa"/>
            <w:gridSpan w:val="2"/>
            <w:vAlign w:val="center"/>
          </w:tcPr>
          <w:p>
            <w:pPr>
              <w:autoSpaceDN w:val="0"/>
              <w:spacing w:line="500" w:lineRule="exact"/>
              <w:jc w:val="center"/>
              <w:rPr>
                <w:rFonts w:ascii="仿宋_GB2312" w:hAnsi="仿宋" w:eastAsia="仿宋_GB2312"/>
                <w:b/>
                <w:spacing w:val="-6"/>
                <w:kern w:val="0"/>
                <w:sz w:val="28"/>
                <w:szCs w:val="28"/>
              </w:rPr>
            </w:pPr>
          </w:p>
        </w:tc>
        <w:tc>
          <w:tcPr>
            <w:tcW w:w="2856" w:type="dxa"/>
            <w:gridSpan w:val="2"/>
            <w:vAlign w:val="center"/>
          </w:tcPr>
          <w:p>
            <w:pPr>
              <w:autoSpaceDN w:val="0"/>
              <w:spacing w:line="500" w:lineRule="exact"/>
              <w:jc w:val="center"/>
              <w:rPr>
                <w:rFonts w:ascii="仿宋_GB2312" w:hAnsi="仿宋" w:eastAsia="仿宋_GB2312"/>
                <w:b/>
                <w:spacing w:val="-6"/>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872" w:hRule="atLeast"/>
        </w:trPr>
        <w:tc>
          <w:tcPr>
            <w:tcW w:w="1702" w:type="dxa"/>
            <w:vAlign w:val="center"/>
          </w:tcPr>
          <w:p>
            <w:pPr>
              <w:autoSpaceDN w:val="0"/>
              <w:spacing w:line="500" w:lineRule="atLeast"/>
              <w:jc w:val="center"/>
              <w:rPr>
                <w:rFonts w:ascii="仿宋_GB2312" w:hAnsi="仿宋" w:eastAsia="仿宋_GB2312"/>
                <w:spacing w:val="-6"/>
                <w:kern w:val="0"/>
                <w:sz w:val="28"/>
                <w:szCs w:val="28"/>
              </w:rPr>
            </w:pPr>
            <w:r>
              <w:rPr>
                <w:rFonts w:hint="eastAsia" w:ascii="仿宋_GB2312" w:hAnsi="仿宋" w:eastAsia="仿宋_GB2312"/>
                <w:spacing w:val="-6"/>
                <w:kern w:val="0"/>
                <w:sz w:val="28"/>
                <w:szCs w:val="28"/>
              </w:rPr>
              <w:t>考生承诺</w:t>
            </w:r>
          </w:p>
        </w:tc>
        <w:tc>
          <w:tcPr>
            <w:tcW w:w="8505" w:type="dxa"/>
            <w:gridSpan w:val="6"/>
            <w:vAlign w:val="center"/>
          </w:tcPr>
          <w:p>
            <w:pPr>
              <w:autoSpaceDN w:val="0"/>
              <w:spacing w:line="500" w:lineRule="exact"/>
              <w:jc w:val="center"/>
              <w:rPr>
                <w:rFonts w:ascii="仿宋_GB2312" w:hAnsi="仿宋" w:eastAsia="仿宋_GB2312"/>
                <w:spacing w:val="-6"/>
                <w:kern w:val="0"/>
                <w:sz w:val="24"/>
              </w:rPr>
            </w:pPr>
            <w:r>
              <w:rPr>
                <w:rFonts w:hint="eastAsia" w:ascii="仿宋_GB2312" w:hAnsi="仿宋" w:eastAsia="仿宋_GB2312"/>
                <w:spacing w:val="-6"/>
                <w:kern w:val="0"/>
                <w:sz w:val="24"/>
              </w:rPr>
              <w:t>本人承诺所填写的信息真实、完整，如有不符，本人愿承担一切后果。</w:t>
            </w:r>
          </w:p>
          <w:p>
            <w:pPr>
              <w:autoSpaceDN w:val="0"/>
              <w:spacing w:line="500" w:lineRule="exact"/>
              <w:jc w:val="center"/>
              <w:rPr>
                <w:rFonts w:ascii="仿宋_GB2312" w:hAnsi="仿宋" w:eastAsia="仿宋_GB2312"/>
                <w:spacing w:val="-6"/>
                <w:kern w:val="0"/>
                <w:sz w:val="24"/>
              </w:rPr>
            </w:pPr>
          </w:p>
          <w:p>
            <w:pPr>
              <w:autoSpaceDN w:val="0"/>
              <w:spacing w:line="500" w:lineRule="exact"/>
              <w:jc w:val="center"/>
              <w:rPr>
                <w:rFonts w:ascii="仿宋_GB2312" w:hAnsi="仿宋" w:eastAsia="仿宋_GB2312"/>
                <w:spacing w:val="-6"/>
                <w:kern w:val="0"/>
                <w:sz w:val="24"/>
                <w:u w:val="single"/>
              </w:rPr>
            </w:pPr>
            <w:r>
              <w:rPr>
                <w:rFonts w:hint="eastAsia" w:ascii="仿宋_GB2312" w:hAnsi="仿宋" w:eastAsia="仿宋_GB2312"/>
                <w:spacing w:val="-6"/>
                <w:kern w:val="0"/>
                <w:sz w:val="24"/>
              </w:rPr>
              <w:t>考生签名：</w:t>
            </w:r>
            <w:r>
              <w:rPr>
                <w:rFonts w:hint="eastAsia" w:ascii="仿宋_GB2312" w:hAnsi="仿宋" w:eastAsia="仿宋_GB2312"/>
                <w:spacing w:val="-6"/>
                <w:kern w:val="0"/>
                <w:sz w:val="24"/>
                <w:u w:val="single"/>
              </w:rPr>
              <w:t xml:space="preserve">                    </w:t>
            </w:r>
          </w:p>
        </w:tc>
      </w:tr>
    </w:tbl>
    <w:p>
      <w:pPr>
        <w:autoSpaceDN w:val="0"/>
        <w:spacing w:line="460" w:lineRule="exact"/>
        <w:ind w:firstLine="560" w:firstLineChars="200"/>
        <w:jc w:val="left"/>
        <w:rPr>
          <w:rFonts w:hint="eastAsia" w:ascii="仿宋_GB2312" w:hAnsi="仿宋" w:eastAsia="仿宋_GB2312"/>
          <w:kern w:val="0"/>
          <w:sz w:val="28"/>
          <w:szCs w:val="28"/>
        </w:rPr>
      </w:pPr>
      <w:r>
        <w:rPr>
          <w:rFonts w:hint="eastAsia" w:ascii="仿宋_GB2312" w:hAnsi="仿宋" w:eastAsia="仿宋_GB2312" w:cs="仿宋"/>
          <w:sz w:val="28"/>
          <w:szCs w:val="28"/>
        </w:rPr>
        <w:t>注意事项：</w:t>
      </w:r>
      <w:r>
        <w:rPr>
          <w:rFonts w:hint="eastAsia" w:ascii="仿宋_GB2312" w:hAnsi="仿宋" w:eastAsia="仿宋_GB2312"/>
          <w:kern w:val="0"/>
          <w:sz w:val="28"/>
          <w:szCs w:val="28"/>
        </w:rPr>
        <w:t>1.</w:t>
      </w:r>
      <w:r>
        <w:rPr>
          <w:rFonts w:hint="eastAsia" w:ascii="仿宋_GB2312" w:eastAsia="仿宋_GB2312"/>
          <w:sz w:val="28"/>
          <w:szCs w:val="28"/>
        </w:rPr>
        <w:t xml:space="preserve"> </w:t>
      </w:r>
      <w:r>
        <w:rPr>
          <w:rFonts w:hint="eastAsia" w:ascii="仿宋_GB2312" w:hAnsi="仿宋" w:eastAsia="仿宋_GB2312"/>
          <w:kern w:val="0"/>
          <w:sz w:val="28"/>
          <w:szCs w:val="28"/>
        </w:rPr>
        <w:t>所填内容必须完整真实；2.</w:t>
      </w:r>
      <w:r>
        <w:rPr>
          <w:rFonts w:hint="eastAsia" w:ascii="仿宋_GB2312" w:eastAsia="仿宋_GB2312"/>
          <w:sz w:val="28"/>
          <w:szCs w:val="28"/>
        </w:rPr>
        <w:t xml:space="preserve"> </w:t>
      </w:r>
      <w:r>
        <w:rPr>
          <w:rFonts w:hint="eastAsia" w:ascii="仿宋_GB2312" w:hAnsi="仿宋" w:eastAsia="仿宋_GB2312"/>
          <w:kern w:val="0"/>
          <w:sz w:val="28"/>
          <w:szCs w:val="28"/>
        </w:rPr>
        <w:t>报考岗位填写格式为“某某学科”，如高中语文。</w:t>
      </w:r>
    </w:p>
    <w:p>
      <w:pPr>
        <w:rPr>
          <w:rFonts w:hint="eastAsia" w:ascii="黑体" w:hAnsi="黑体" w:eastAsia="黑体"/>
          <w:color w:val="auto"/>
          <w:kern w:val="0"/>
          <w:szCs w:val="32"/>
          <w:lang w:val="en-US" w:eastAsia="zh-CN"/>
        </w:rPr>
      </w:pPr>
      <w:r>
        <w:rPr>
          <w:rFonts w:hint="eastAsia" w:ascii="黑体" w:hAnsi="黑体" w:eastAsia="黑体"/>
          <w:color w:val="auto"/>
          <w:kern w:val="0"/>
          <w:szCs w:val="32"/>
          <w:lang w:eastAsia="zh-CN"/>
        </w:rPr>
        <w:t>附件</w:t>
      </w:r>
      <w:r>
        <w:rPr>
          <w:rFonts w:hint="eastAsia" w:ascii="黑体" w:hAnsi="黑体" w:eastAsia="黑体"/>
          <w:color w:val="auto"/>
          <w:kern w:val="0"/>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kern w:val="2"/>
          <w:sz w:val="44"/>
          <w:szCs w:val="44"/>
          <w:lang w:val="en-US" w:eastAsia="zh-CN"/>
        </w:rPr>
      </w:pPr>
      <w:r>
        <w:rPr>
          <w:rFonts w:hint="eastAsia" w:ascii="方正小标宋简体" w:hAnsi="方正小标宋简体" w:eastAsia="方正小标宋简体" w:cs="方正小标宋简体"/>
          <w:kern w:val="2"/>
          <w:sz w:val="44"/>
          <w:szCs w:val="44"/>
          <w:lang w:val="en-US" w:eastAsia="zh-CN"/>
        </w:rPr>
        <w:t xml:space="preserve">       进贤县2021年引进高层次人才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rPr>
        <w:t>《健康情况承诺书》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rPr>
      </w:pPr>
      <w:r>
        <w:rPr>
          <w:rFonts w:hint="eastAsia" w:ascii="仿宋" w:hAnsi="仿宋" w:eastAsia="仿宋" w:cs="仿宋"/>
        </w:rPr>
        <w:t>本人是参加进贤县202</w:t>
      </w:r>
      <w:r>
        <w:rPr>
          <w:rFonts w:hint="eastAsia" w:ascii="仿宋" w:hAnsi="仿宋" w:eastAsia="仿宋" w:cs="仿宋"/>
          <w:lang w:val="en-US" w:eastAsia="zh-CN"/>
        </w:rPr>
        <w:t>1</w:t>
      </w:r>
      <w:r>
        <w:rPr>
          <w:rFonts w:hint="eastAsia" w:ascii="仿宋" w:hAnsi="仿宋" w:eastAsia="仿宋" w:cs="仿宋"/>
        </w:rPr>
        <w:t>年引进高层次人才</w:t>
      </w:r>
      <w:r>
        <w:rPr>
          <w:rFonts w:hint="eastAsia" w:ascii="仿宋" w:hAnsi="仿宋" w:eastAsia="仿宋" w:cs="仿宋"/>
          <w:lang w:val="en-US" w:eastAsia="zh-CN"/>
        </w:rPr>
        <w:t>招聘</w:t>
      </w:r>
      <w:r>
        <w:rPr>
          <w:rFonts w:hint="eastAsia" w:ascii="仿宋" w:hAnsi="仿宋" w:eastAsia="仿宋" w:cs="仿宋"/>
        </w:rPr>
        <w:t>的应聘人员，愿意遵守疫情防控各项管理的相关要求，秉承对自己、对他人负责的原则，承担疫情防控社会责任，郑重作出以下承诺: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rPr>
      </w:pPr>
      <w:r>
        <w:rPr>
          <w:rFonts w:hint="eastAsia" w:ascii="仿宋" w:hAnsi="仿宋" w:eastAsia="仿宋" w:cs="仿宋"/>
        </w:rPr>
        <w:t>一、充分理解并遵守考试期间考点各项防疫安全的要求。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rPr>
      </w:pPr>
      <w:r>
        <w:rPr>
          <w:rFonts w:hint="eastAsia" w:ascii="仿宋" w:hAnsi="仿宋" w:eastAsia="仿宋" w:cs="仿宋"/>
        </w:rPr>
        <w:t>二、在考试前14天内，没有到过国内疫情中风险、高风险地区，未出境，不存在自境外回国情形。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rPr>
      </w:pPr>
      <w:r>
        <w:rPr>
          <w:rFonts w:hint="eastAsia" w:ascii="仿宋" w:hAnsi="仿宋" w:eastAsia="仿宋" w:cs="仿宋"/>
        </w:rPr>
        <w:t>三、在考试前14天内，每日自觉监测体温，体温均未出现高于37.3度的情形。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rPr>
      </w:pPr>
      <w:r>
        <w:rPr>
          <w:rFonts w:hint="eastAsia" w:ascii="仿宋" w:hAnsi="仿宋" w:eastAsia="仿宋" w:cs="仿宋"/>
        </w:rPr>
        <w:t>四、在考试前14天内，未和新冠肺炎病例或疑似病例密切接触，没有发烧、干咳、乏力、咳痰、气短、肌肉痛或关节痛、咽喉痛、头痛、寒颤、恶心或呕吐、鼻塞、腹泻、咳血、结膜充血等疑似新冠肺炎症状。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rPr>
      </w:pPr>
      <w:r>
        <w:rPr>
          <w:rFonts w:hint="eastAsia" w:ascii="仿宋" w:hAnsi="仿宋" w:eastAsia="仿宋" w:cs="仿宋"/>
        </w:rPr>
        <w:t>五、如出现与前述第二、三、四项任何一项不符的情形之一的，本人将及时在考前向相关管理机构报告，自觉配合采取隔离或其他防疫措施，并根据情况，自愿放弃参加考试。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rPr>
      </w:pPr>
      <w:r>
        <w:rPr>
          <w:rFonts w:hint="eastAsia" w:ascii="仿宋" w:hAnsi="仿宋" w:eastAsia="仿宋" w:cs="仿宋"/>
        </w:rPr>
        <w:t>六、考试当日自行做好防护工作，佩带防护口罩。提前抵达考点，配合查验健康码、测量体温等。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rPr>
      </w:pPr>
      <w:r>
        <w:rPr>
          <w:rFonts w:hint="eastAsia" w:ascii="仿宋" w:hAnsi="仿宋" w:eastAsia="仿宋" w:cs="仿宋"/>
        </w:rPr>
        <w:t>七、考试期间，将严格遵守应考人员考场守则及疫情防控相关管理要求，完成考试后立即离场，不扎堆，不聚集。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rPr>
      </w:pPr>
      <w:r>
        <w:rPr>
          <w:rFonts w:hint="eastAsia" w:ascii="仿宋" w:hAnsi="仿宋" w:eastAsia="仿宋" w:cs="仿宋"/>
        </w:rPr>
        <w:t>八、本人承诺遵守本承诺书中所有内容，若因有瞒报、谎报造成新冠肺炎疫情传播的，一经查实，由本人承担相应的法律和经济责任。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仿宋_GB2312" w:cs="仿宋_GB2312"/>
        </w:rPr>
      </w:pPr>
      <w:r>
        <w:rPr>
          <w:rFonts w:hint="eastAsia" w:ascii="仿宋" w:hAnsi="仿宋" w:eastAsia="仿宋" w:cs="仿宋"/>
        </w:rPr>
        <w:t>考生签名（手写）：                     2021年</w:t>
      </w:r>
      <w:r>
        <w:rPr>
          <w:rFonts w:hint="eastAsia" w:ascii="仿宋" w:hAnsi="仿宋" w:eastAsia="仿宋" w:cs="仿宋"/>
          <w:lang w:val="en-US" w:eastAsia="zh-CN"/>
        </w:rPr>
        <w:t xml:space="preserve">  </w:t>
      </w:r>
      <w:r>
        <w:rPr>
          <w:rFonts w:hint="eastAsia" w:ascii="仿宋" w:hAnsi="仿宋" w:eastAsia="仿宋" w:cs="仿宋"/>
        </w:rPr>
        <w:t>月  日</w:t>
      </w:r>
    </w:p>
    <w:p>
      <w:pPr>
        <w:pStyle w:val="2"/>
        <w:rPr>
          <w:rFonts w:hint="default"/>
          <w:lang w:val="en-US" w:eastAsia="zh-CN"/>
        </w:rPr>
      </w:pPr>
    </w:p>
    <w:sectPr>
      <w:footerReference r:id="rId3" w:type="default"/>
      <w:footerReference r:id="rId4" w:type="even"/>
      <w:pgSz w:w="11850" w:h="16783"/>
      <w:pgMar w:top="1417" w:right="1417" w:bottom="1417" w:left="1417" w:header="851" w:footer="850" w:gutter="0"/>
      <w:pgNumType w:fmt="numberInDash"/>
      <w:cols w:space="0" w:num="1"/>
      <w:rtlGutter w:val="0"/>
      <w:docGrid w:type="lines" w:linePitch="57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7864303"/>
      <w:docPartObj>
        <w:docPartGallery w:val="autotext"/>
      </w:docPartObj>
    </w:sdtPr>
    <w:sdtContent>
      <w:p>
        <w:pPr>
          <w:pStyle w:val="5"/>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134596"/>
      <w:docPartObj>
        <w:docPartGallery w:val="autotext"/>
      </w:docPartObj>
    </w:sdtPr>
    <w:sdtContent>
      <w:p>
        <w:pPr>
          <w:pStyle w:val="5"/>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57"/>
  <w:drawingGridVerticalSpacing w:val="57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FA"/>
    <w:rsid w:val="00024F81"/>
    <w:rsid w:val="00031D0A"/>
    <w:rsid w:val="00045A92"/>
    <w:rsid w:val="000571D0"/>
    <w:rsid w:val="0009657D"/>
    <w:rsid w:val="000B0D67"/>
    <w:rsid w:val="000E0860"/>
    <w:rsid w:val="001060AB"/>
    <w:rsid w:val="0011075B"/>
    <w:rsid w:val="0012273A"/>
    <w:rsid w:val="001361D6"/>
    <w:rsid w:val="00162E18"/>
    <w:rsid w:val="00164A0D"/>
    <w:rsid w:val="00175EEA"/>
    <w:rsid w:val="001917A7"/>
    <w:rsid w:val="001A0A09"/>
    <w:rsid w:val="001A3EE6"/>
    <w:rsid w:val="001B2EFB"/>
    <w:rsid w:val="001C6489"/>
    <w:rsid w:val="001D023F"/>
    <w:rsid w:val="001F24E5"/>
    <w:rsid w:val="00211B36"/>
    <w:rsid w:val="002661E8"/>
    <w:rsid w:val="0027115A"/>
    <w:rsid w:val="00284EA1"/>
    <w:rsid w:val="002B05B6"/>
    <w:rsid w:val="002E1D1B"/>
    <w:rsid w:val="003250D3"/>
    <w:rsid w:val="0032784F"/>
    <w:rsid w:val="003450D4"/>
    <w:rsid w:val="00354860"/>
    <w:rsid w:val="00355D65"/>
    <w:rsid w:val="00386E06"/>
    <w:rsid w:val="00387D97"/>
    <w:rsid w:val="003A7AD0"/>
    <w:rsid w:val="003B1F48"/>
    <w:rsid w:val="003B7D7E"/>
    <w:rsid w:val="003F11E4"/>
    <w:rsid w:val="004029B6"/>
    <w:rsid w:val="00411486"/>
    <w:rsid w:val="00412EFA"/>
    <w:rsid w:val="0043004F"/>
    <w:rsid w:val="00462A56"/>
    <w:rsid w:val="004738E1"/>
    <w:rsid w:val="004C106B"/>
    <w:rsid w:val="004D5835"/>
    <w:rsid w:val="004F2E9E"/>
    <w:rsid w:val="0050511F"/>
    <w:rsid w:val="00521414"/>
    <w:rsid w:val="00532D72"/>
    <w:rsid w:val="00561881"/>
    <w:rsid w:val="0057244E"/>
    <w:rsid w:val="005A70C8"/>
    <w:rsid w:val="005B1E58"/>
    <w:rsid w:val="005C7536"/>
    <w:rsid w:val="005E694E"/>
    <w:rsid w:val="005E6A70"/>
    <w:rsid w:val="00602709"/>
    <w:rsid w:val="00607121"/>
    <w:rsid w:val="006074B9"/>
    <w:rsid w:val="00650A66"/>
    <w:rsid w:val="00683009"/>
    <w:rsid w:val="00687805"/>
    <w:rsid w:val="00694635"/>
    <w:rsid w:val="006A4768"/>
    <w:rsid w:val="006B4592"/>
    <w:rsid w:val="006D0297"/>
    <w:rsid w:val="006F4526"/>
    <w:rsid w:val="006F7123"/>
    <w:rsid w:val="0072439C"/>
    <w:rsid w:val="0073775C"/>
    <w:rsid w:val="00746B24"/>
    <w:rsid w:val="00747A9E"/>
    <w:rsid w:val="00764213"/>
    <w:rsid w:val="007D21AE"/>
    <w:rsid w:val="007F7A87"/>
    <w:rsid w:val="0080277D"/>
    <w:rsid w:val="00826AB2"/>
    <w:rsid w:val="00836588"/>
    <w:rsid w:val="00870C3B"/>
    <w:rsid w:val="0088509E"/>
    <w:rsid w:val="00896D99"/>
    <w:rsid w:val="008A3072"/>
    <w:rsid w:val="00951D13"/>
    <w:rsid w:val="009645D4"/>
    <w:rsid w:val="009675EE"/>
    <w:rsid w:val="00980370"/>
    <w:rsid w:val="009B1385"/>
    <w:rsid w:val="009E0D12"/>
    <w:rsid w:val="00A06D43"/>
    <w:rsid w:val="00A440B6"/>
    <w:rsid w:val="00A60C3A"/>
    <w:rsid w:val="00A61C17"/>
    <w:rsid w:val="00A63E99"/>
    <w:rsid w:val="00A74804"/>
    <w:rsid w:val="00A82DE4"/>
    <w:rsid w:val="00A877F6"/>
    <w:rsid w:val="00A977B5"/>
    <w:rsid w:val="00AA111F"/>
    <w:rsid w:val="00AA3B38"/>
    <w:rsid w:val="00AB1943"/>
    <w:rsid w:val="00AB2188"/>
    <w:rsid w:val="00AD3682"/>
    <w:rsid w:val="00AF27EC"/>
    <w:rsid w:val="00B00F53"/>
    <w:rsid w:val="00B16859"/>
    <w:rsid w:val="00B34054"/>
    <w:rsid w:val="00B340F9"/>
    <w:rsid w:val="00B42493"/>
    <w:rsid w:val="00B511BB"/>
    <w:rsid w:val="00B63F58"/>
    <w:rsid w:val="00B74FE6"/>
    <w:rsid w:val="00BB4926"/>
    <w:rsid w:val="00BC52A4"/>
    <w:rsid w:val="00BF695A"/>
    <w:rsid w:val="00C01338"/>
    <w:rsid w:val="00C0774F"/>
    <w:rsid w:val="00C20758"/>
    <w:rsid w:val="00C367A3"/>
    <w:rsid w:val="00C50D97"/>
    <w:rsid w:val="00C56D78"/>
    <w:rsid w:val="00C575BE"/>
    <w:rsid w:val="00C812A6"/>
    <w:rsid w:val="00C83DEF"/>
    <w:rsid w:val="00C8626B"/>
    <w:rsid w:val="00C90DAC"/>
    <w:rsid w:val="00C935ED"/>
    <w:rsid w:val="00CB30A1"/>
    <w:rsid w:val="00CE4D66"/>
    <w:rsid w:val="00D15460"/>
    <w:rsid w:val="00D22C8A"/>
    <w:rsid w:val="00D43552"/>
    <w:rsid w:val="00D936B3"/>
    <w:rsid w:val="00DC0FF1"/>
    <w:rsid w:val="00DD5C3C"/>
    <w:rsid w:val="00DE38C5"/>
    <w:rsid w:val="00DF4F17"/>
    <w:rsid w:val="00E11B4A"/>
    <w:rsid w:val="00E27912"/>
    <w:rsid w:val="00E3369F"/>
    <w:rsid w:val="00E412A9"/>
    <w:rsid w:val="00E42F20"/>
    <w:rsid w:val="00E53DA0"/>
    <w:rsid w:val="00E72568"/>
    <w:rsid w:val="00E91B30"/>
    <w:rsid w:val="00F13C4A"/>
    <w:rsid w:val="00F32B8F"/>
    <w:rsid w:val="00F41A02"/>
    <w:rsid w:val="00F708FA"/>
    <w:rsid w:val="00F74D3A"/>
    <w:rsid w:val="00F955BE"/>
    <w:rsid w:val="03390FAF"/>
    <w:rsid w:val="05BA24B0"/>
    <w:rsid w:val="05F92C8F"/>
    <w:rsid w:val="065A4BE1"/>
    <w:rsid w:val="06ED53E2"/>
    <w:rsid w:val="07C73806"/>
    <w:rsid w:val="08043A06"/>
    <w:rsid w:val="09315317"/>
    <w:rsid w:val="0A817833"/>
    <w:rsid w:val="0B4B5046"/>
    <w:rsid w:val="0BE82615"/>
    <w:rsid w:val="0C27618A"/>
    <w:rsid w:val="0C7633B5"/>
    <w:rsid w:val="0D3245BF"/>
    <w:rsid w:val="0D634830"/>
    <w:rsid w:val="0EA5733B"/>
    <w:rsid w:val="12C169AF"/>
    <w:rsid w:val="14481A65"/>
    <w:rsid w:val="149C63C1"/>
    <w:rsid w:val="14EC53F1"/>
    <w:rsid w:val="159F0CF6"/>
    <w:rsid w:val="180F2A9A"/>
    <w:rsid w:val="1AFC398B"/>
    <w:rsid w:val="1C4F5F55"/>
    <w:rsid w:val="1C76787D"/>
    <w:rsid w:val="1E845430"/>
    <w:rsid w:val="1F267FA0"/>
    <w:rsid w:val="1F8B6D1F"/>
    <w:rsid w:val="203739B1"/>
    <w:rsid w:val="205A6387"/>
    <w:rsid w:val="218B44CA"/>
    <w:rsid w:val="21C24444"/>
    <w:rsid w:val="22E81E25"/>
    <w:rsid w:val="24765FEE"/>
    <w:rsid w:val="24C3077B"/>
    <w:rsid w:val="283256A6"/>
    <w:rsid w:val="2AE90215"/>
    <w:rsid w:val="2E91714D"/>
    <w:rsid w:val="2EF87BD2"/>
    <w:rsid w:val="30090C07"/>
    <w:rsid w:val="34523BE2"/>
    <w:rsid w:val="37293940"/>
    <w:rsid w:val="38A63DAE"/>
    <w:rsid w:val="392E0AB4"/>
    <w:rsid w:val="39EF709F"/>
    <w:rsid w:val="3A162859"/>
    <w:rsid w:val="3C652178"/>
    <w:rsid w:val="3F413667"/>
    <w:rsid w:val="3F5E7749"/>
    <w:rsid w:val="415151ED"/>
    <w:rsid w:val="444D25C8"/>
    <w:rsid w:val="446F3F8A"/>
    <w:rsid w:val="45977EAF"/>
    <w:rsid w:val="47F600C1"/>
    <w:rsid w:val="48F65A8E"/>
    <w:rsid w:val="49D428E1"/>
    <w:rsid w:val="49F223F3"/>
    <w:rsid w:val="4CCF6F56"/>
    <w:rsid w:val="4D523F01"/>
    <w:rsid w:val="4E633B68"/>
    <w:rsid w:val="4FDB35FA"/>
    <w:rsid w:val="503A1512"/>
    <w:rsid w:val="50DE3EA1"/>
    <w:rsid w:val="52F45887"/>
    <w:rsid w:val="54444C35"/>
    <w:rsid w:val="57304F93"/>
    <w:rsid w:val="57C317FB"/>
    <w:rsid w:val="5B1A676C"/>
    <w:rsid w:val="5B4F786B"/>
    <w:rsid w:val="5B754AE0"/>
    <w:rsid w:val="5D4F2ACC"/>
    <w:rsid w:val="5FBA0AC3"/>
    <w:rsid w:val="6080588E"/>
    <w:rsid w:val="618E6FBC"/>
    <w:rsid w:val="62D42F1E"/>
    <w:rsid w:val="630E1763"/>
    <w:rsid w:val="648B7D27"/>
    <w:rsid w:val="652B4E50"/>
    <w:rsid w:val="65C247ED"/>
    <w:rsid w:val="662D33FE"/>
    <w:rsid w:val="67B80E5E"/>
    <w:rsid w:val="684D384C"/>
    <w:rsid w:val="6B1A59E7"/>
    <w:rsid w:val="6C9D6278"/>
    <w:rsid w:val="6E571528"/>
    <w:rsid w:val="6E884D13"/>
    <w:rsid w:val="6FD80AEA"/>
    <w:rsid w:val="702617F4"/>
    <w:rsid w:val="715F5E60"/>
    <w:rsid w:val="72FC4573"/>
    <w:rsid w:val="73030F64"/>
    <w:rsid w:val="7595087A"/>
    <w:rsid w:val="771D13FB"/>
    <w:rsid w:val="78616BAF"/>
    <w:rsid w:val="787730BA"/>
    <w:rsid w:val="7A0877EC"/>
    <w:rsid w:val="7ACB4E29"/>
    <w:rsid w:val="7B637766"/>
    <w:rsid w:val="7BB86B00"/>
    <w:rsid w:val="7C423B4D"/>
    <w:rsid w:val="7CC77F14"/>
    <w:rsid w:val="7DE47CBD"/>
    <w:rsid w:val="7EC60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32"/>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宋体" w:hAnsi="华文中宋"/>
      <w:b/>
      <w:bCs/>
      <w:spacing w:val="-6"/>
      <w:sz w:val="44"/>
    </w:rPr>
  </w:style>
  <w:style w:type="paragraph" w:styleId="3">
    <w:name w:val="Date"/>
    <w:basedOn w:val="1"/>
    <w:next w:val="1"/>
    <w:link w:val="18"/>
    <w:qFormat/>
    <w:uiPriority w:val="0"/>
    <w:pPr>
      <w:ind w:left="100" w:leftChars="2500"/>
    </w:pPr>
  </w:style>
  <w:style w:type="paragraph" w:styleId="4">
    <w:name w:val="Balloon Text"/>
    <w:basedOn w:val="1"/>
    <w:link w:val="19"/>
    <w:qFormat/>
    <w:uiPriority w:val="0"/>
    <w:rPr>
      <w:sz w:val="18"/>
      <w:szCs w:val="18"/>
    </w:rPr>
  </w:style>
  <w:style w:type="paragraph" w:styleId="5">
    <w:name w:val="footer"/>
    <w:basedOn w:val="1"/>
    <w:link w:val="20"/>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rFonts w:ascii="Times New Roman" w:hAnsi="Times New Roman" w:eastAsia="宋体" w:cs="Times New Roman"/>
      <w:color w:val="0000FF"/>
      <w:u w:val="single"/>
    </w:rPr>
  </w:style>
  <w:style w:type="paragraph" w:customStyle="1" w:styleId="13">
    <w:name w:val="Body text|2"/>
    <w:basedOn w:val="1"/>
    <w:qFormat/>
    <w:uiPriority w:val="0"/>
    <w:pPr>
      <w:shd w:val="clear" w:color="auto" w:fill="FFFFFF"/>
      <w:spacing w:before="260" w:after="1520" w:line="280" w:lineRule="exact"/>
      <w:jc w:val="center"/>
    </w:pPr>
    <w:rPr>
      <w:rFonts w:ascii="PMingLiU" w:hAnsi="PMingLiU" w:eastAsia="PMingLiU" w:cs="PMingLiU"/>
      <w:spacing w:val="50"/>
      <w:sz w:val="28"/>
      <w:szCs w:val="28"/>
    </w:rPr>
  </w:style>
  <w:style w:type="character" w:customStyle="1" w:styleId="14">
    <w:name w:val="bjh-strong"/>
    <w:basedOn w:val="10"/>
    <w:qFormat/>
    <w:uiPriority w:val="99"/>
    <w:rPr>
      <w:rFonts w:cs="Times New Roman"/>
    </w:rPr>
  </w:style>
  <w:style w:type="character" w:customStyle="1" w:styleId="15">
    <w:name w:val="bjh-p"/>
    <w:basedOn w:val="10"/>
    <w:qFormat/>
    <w:uiPriority w:val="99"/>
    <w:rPr>
      <w:rFonts w:cs="Times New Roman"/>
    </w:rPr>
  </w:style>
  <w:style w:type="paragraph" w:customStyle="1" w:styleId="16">
    <w:name w:val="p0"/>
    <w:basedOn w:val="1"/>
    <w:qFormat/>
    <w:uiPriority w:val="0"/>
    <w:pPr>
      <w:widowControl/>
    </w:pPr>
    <w:rPr>
      <w:rFonts w:ascii="Times New Roman" w:hAnsi="Times New Roman" w:cs="Times New Roman"/>
      <w:kern w:val="0"/>
      <w:szCs w:val="21"/>
    </w:rPr>
  </w:style>
  <w:style w:type="paragraph" w:styleId="17">
    <w:name w:val="List Paragraph"/>
    <w:basedOn w:val="1"/>
    <w:qFormat/>
    <w:uiPriority w:val="99"/>
    <w:pPr>
      <w:ind w:firstLine="420" w:firstLineChars="200"/>
    </w:pPr>
  </w:style>
  <w:style w:type="character" w:customStyle="1" w:styleId="18">
    <w:name w:val="日期 Char"/>
    <w:basedOn w:val="10"/>
    <w:link w:val="3"/>
    <w:qFormat/>
    <w:uiPriority w:val="0"/>
    <w:rPr>
      <w:rFonts w:ascii="Calibri" w:hAnsi="Calibri" w:cs="宋体"/>
      <w:kern w:val="2"/>
      <w:sz w:val="32"/>
      <w:szCs w:val="24"/>
    </w:rPr>
  </w:style>
  <w:style w:type="character" w:customStyle="1" w:styleId="19">
    <w:name w:val="批注框文本 Char"/>
    <w:basedOn w:val="10"/>
    <w:link w:val="4"/>
    <w:qFormat/>
    <w:uiPriority w:val="0"/>
    <w:rPr>
      <w:rFonts w:ascii="Calibri" w:hAnsi="Calibri" w:cs="宋体"/>
      <w:kern w:val="2"/>
      <w:sz w:val="18"/>
      <w:szCs w:val="18"/>
    </w:rPr>
  </w:style>
  <w:style w:type="character" w:customStyle="1" w:styleId="20">
    <w:name w:val="页脚 Char"/>
    <w:basedOn w:val="10"/>
    <w:link w:val="5"/>
    <w:qFormat/>
    <w:uiPriority w:val="99"/>
    <w:rPr>
      <w:rFonts w:cs="宋体"/>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615</Words>
  <Characters>3507</Characters>
  <Lines>29</Lines>
  <Paragraphs>8</Paragraphs>
  <TotalTime>13</TotalTime>
  <ScaleCrop>false</ScaleCrop>
  <LinksUpToDate>false</LinksUpToDate>
  <CharactersWithSpaces>4114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2020-10-28T02:12:00Z</dcterms:created>
  <dc:creator>p</dc:creator>
  <cp:lastModifiedBy>桃子</cp:lastModifiedBy>
  <cp:lastPrinted>2021-06-30T04:35:00Z</cp:lastPrinted>
  <dcterms:modified xsi:type="dcterms:W3CDTF">2021-10-15T07:15:57Z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144B08AF37CC46B390BAF11719771270</vt:lpwstr>
  </property>
</Properties>
</file>