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D9E5C">
      <w:pPr>
        <w:keepNext w:val="0"/>
        <w:keepLines w:val="0"/>
        <w:pageBreakBefore w:val="0"/>
        <w:widowControl w:val="0"/>
        <w:kinsoku w:val="0"/>
        <w:wordWrap w:val="0"/>
        <w:overflowPunct/>
        <w:topLinePunct/>
        <w:autoSpaceDE/>
        <w:autoSpaceDN/>
        <w:bidi w:val="0"/>
        <w:adjustRightInd/>
        <w:snapToGrid/>
        <w:spacing w:line="600" w:lineRule="exact"/>
        <w:ind w:right="0"/>
        <w:jc w:val="center"/>
        <w:textAlignment w:val="baseline"/>
        <w:rPr>
          <w:rFonts w:hint="eastAsia" w:ascii="方正小标宋简体" w:hAnsi="方正小标宋简体" w:eastAsia="方正小标宋简体" w:cs="方正小标宋简体"/>
          <w:snapToGrid w:val="0"/>
          <w:color w:val="000000"/>
          <w:spacing w:val="8"/>
          <w:kern w:val="0"/>
          <w:sz w:val="44"/>
          <w:szCs w:val="44"/>
          <w:lang w:eastAsia="en-US"/>
        </w:rPr>
      </w:pPr>
      <w:r>
        <w:rPr>
          <w:rFonts w:hint="eastAsia" w:ascii="方正小标宋简体" w:hAnsi="方正小标宋简体" w:eastAsia="方正小标宋简体" w:cs="方正小标宋简体"/>
          <w:snapToGrid w:val="0"/>
          <w:color w:val="000000"/>
          <w:spacing w:val="8"/>
          <w:kern w:val="0"/>
          <w:sz w:val="44"/>
          <w:szCs w:val="44"/>
          <w:lang w:eastAsia="en-US"/>
        </w:rPr>
        <w:t>进贤县202</w:t>
      </w:r>
      <w:r>
        <w:rPr>
          <w:rFonts w:hint="eastAsia" w:ascii="方正小标宋简体" w:hAnsi="方正小标宋简体" w:eastAsia="方正小标宋简体" w:cs="方正小标宋简体"/>
          <w:snapToGrid w:val="0"/>
          <w:color w:val="000000"/>
          <w:spacing w:val="8"/>
          <w:kern w:val="0"/>
          <w:sz w:val="44"/>
          <w:szCs w:val="44"/>
          <w:lang w:val="en-US" w:eastAsia="zh-CN"/>
        </w:rPr>
        <w:t>5</w:t>
      </w:r>
      <w:r>
        <w:rPr>
          <w:rFonts w:hint="eastAsia" w:ascii="方正小标宋简体" w:hAnsi="方正小标宋简体" w:eastAsia="方正小标宋简体" w:cs="方正小标宋简体"/>
          <w:snapToGrid w:val="0"/>
          <w:color w:val="000000"/>
          <w:spacing w:val="8"/>
          <w:kern w:val="0"/>
          <w:sz w:val="44"/>
          <w:szCs w:val="44"/>
          <w:lang w:eastAsia="en-US"/>
        </w:rPr>
        <w:t>年重大重点项目推进工作方案</w:t>
      </w:r>
    </w:p>
    <w:p w14:paraId="4EE45A59">
      <w:pPr>
        <w:keepNext w:val="0"/>
        <w:keepLines w:val="0"/>
        <w:pageBreakBefore w:val="0"/>
        <w:widowControl w:val="0"/>
        <w:kinsoku w:val="0"/>
        <w:wordWrap w:val="0"/>
        <w:overflowPunct/>
        <w:topLinePunct/>
        <w:autoSpaceDE/>
        <w:autoSpaceDN/>
        <w:bidi w:val="0"/>
        <w:adjustRightInd/>
        <w:snapToGrid/>
        <w:spacing w:line="600" w:lineRule="exact"/>
        <w:ind w:right="0"/>
        <w:jc w:val="center"/>
        <w:textAlignment w:val="baseline"/>
        <w:rPr>
          <w:rFonts w:hint="eastAsia" w:ascii="方正小标宋简体" w:hAnsi="方正小标宋简体" w:eastAsia="方正小标宋简体" w:cs="方正小标宋简体"/>
          <w:snapToGrid w:val="0"/>
          <w:color w:val="000000"/>
          <w:spacing w:val="8"/>
          <w:kern w:val="0"/>
          <w:sz w:val="43"/>
          <w:szCs w:val="43"/>
          <w:lang w:eastAsia="zh-CN"/>
        </w:rPr>
      </w:pPr>
      <w:r>
        <w:rPr>
          <w:rFonts w:hint="eastAsia" w:ascii="华文楷体" w:hAnsi="华文楷体" w:eastAsia="华文楷体" w:cs="华文楷体"/>
          <w:snapToGrid w:val="0"/>
          <w:color w:val="000000"/>
          <w:spacing w:val="8"/>
          <w:kern w:val="0"/>
          <w:sz w:val="32"/>
          <w:szCs w:val="32"/>
          <w:lang w:eastAsia="zh-CN"/>
        </w:rPr>
        <w:t>（</w:t>
      </w:r>
      <w:r>
        <w:rPr>
          <w:rFonts w:hint="eastAsia" w:ascii="华文楷体" w:hAnsi="华文楷体" w:eastAsia="华文楷体" w:cs="华文楷体"/>
          <w:snapToGrid w:val="0"/>
          <w:color w:val="000000"/>
          <w:spacing w:val="8"/>
          <w:kern w:val="0"/>
          <w:sz w:val="32"/>
          <w:szCs w:val="32"/>
          <w:lang w:val="en-US" w:eastAsia="zh-CN"/>
        </w:rPr>
        <w:t>征求意见稿</w:t>
      </w:r>
      <w:r>
        <w:rPr>
          <w:rFonts w:hint="eastAsia" w:ascii="华文楷体" w:hAnsi="华文楷体" w:eastAsia="华文楷体" w:cs="华文楷体"/>
          <w:snapToGrid w:val="0"/>
          <w:color w:val="000000"/>
          <w:spacing w:val="8"/>
          <w:kern w:val="0"/>
          <w:sz w:val="32"/>
          <w:szCs w:val="32"/>
          <w:lang w:eastAsia="zh-CN"/>
        </w:rPr>
        <w:t>）</w:t>
      </w:r>
    </w:p>
    <w:p w14:paraId="5AD79D3E">
      <w:pPr>
        <w:keepNext w:val="0"/>
        <w:keepLines w:val="0"/>
        <w:pageBreakBefore w:val="0"/>
        <w:widowControl w:val="0"/>
        <w:kinsoku w:val="0"/>
        <w:wordWrap w:val="0"/>
        <w:overflowPunct/>
        <w:topLinePunct/>
        <w:autoSpaceDE/>
        <w:autoSpaceDN/>
        <w:bidi w:val="0"/>
        <w:adjustRightInd/>
        <w:snapToGrid/>
        <w:spacing w:line="600" w:lineRule="exact"/>
        <w:ind w:left="0" w:leftChars="0" w:right="0" w:firstLine="672" w:firstLineChars="200"/>
        <w:jc w:val="left"/>
        <w:textAlignment w:val="baseline"/>
        <w:rPr>
          <w:rFonts w:hint="eastAsia" w:ascii="方正小标宋简体" w:hAnsi="方正小标宋简体" w:eastAsia="方正小标宋简体" w:cs="方正小标宋简体"/>
          <w:snapToGrid w:val="0"/>
          <w:color w:val="000000"/>
          <w:spacing w:val="8"/>
          <w:kern w:val="0"/>
          <w:sz w:val="32"/>
          <w:szCs w:val="32"/>
          <w:lang w:eastAsia="zh-CN"/>
        </w:rPr>
      </w:pPr>
    </w:p>
    <w:p w14:paraId="2A4FB710">
      <w:pPr>
        <w:keepNext w:val="0"/>
        <w:keepLines w:val="0"/>
        <w:pageBreakBefore w:val="0"/>
        <w:widowControl w:val="0"/>
        <w:kinsoku/>
        <w:wordWrap w:val="0"/>
        <w:overflowPunct/>
        <w:topLinePunct/>
        <w:autoSpaceDE/>
        <w:autoSpaceDN/>
        <w:bidi w:val="0"/>
        <w:adjustRightInd/>
        <w:snapToGrid/>
        <w:spacing w:line="600" w:lineRule="exact"/>
        <w:ind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为加快推进我县</w:t>
      </w:r>
      <w:r>
        <w:rPr>
          <w:rFonts w:hint="eastAsia" w:ascii="仿宋_GB2312" w:hAnsi="仿宋_GB2312" w:eastAsia="仿宋_GB2312" w:cs="仿宋_GB2312"/>
          <w:snapToGrid/>
          <w:color w:val="000000"/>
          <w:spacing w:val="0"/>
          <w:kern w:val="21"/>
          <w:sz w:val="32"/>
          <w:szCs w:val="31"/>
          <w:lang w:val="en-US" w:eastAsia="zh-CN" w:bidi="ar-SA"/>
        </w:rPr>
        <w:t>2025年重大</w:t>
      </w:r>
      <w:r>
        <w:rPr>
          <w:rFonts w:hint="eastAsia" w:ascii="仿宋_GB2312" w:hAnsi="仿宋_GB2312" w:eastAsia="仿宋_GB2312" w:cs="仿宋_GB2312"/>
          <w:snapToGrid/>
          <w:color w:val="000000"/>
          <w:spacing w:val="0"/>
          <w:kern w:val="21"/>
          <w:sz w:val="32"/>
          <w:szCs w:val="31"/>
          <w:lang w:val="en-US" w:eastAsia="en-US" w:bidi="ar-SA"/>
        </w:rPr>
        <w:t>重点项目建设，进一步扩大有效投资，充分发挥投资对经济社会高质量发展的重要支撑作用，特制定本</w:t>
      </w:r>
      <w:r>
        <w:rPr>
          <w:rFonts w:hint="eastAsia" w:ascii="仿宋_GB2312" w:hAnsi="仿宋_GB2312" w:eastAsia="仿宋_GB2312" w:cs="仿宋_GB2312"/>
          <w:snapToGrid/>
          <w:color w:val="000000"/>
          <w:spacing w:val="0"/>
          <w:kern w:val="21"/>
          <w:sz w:val="32"/>
          <w:szCs w:val="31"/>
          <w:lang w:val="en-US" w:eastAsia="zh-CN" w:bidi="ar-SA"/>
        </w:rPr>
        <w:t>工作</w:t>
      </w:r>
      <w:r>
        <w:rPr>
          <w:rFonts w:hint="eastAsia" w:ascii="仿宋_GB2312" w:hAnsi="仿宋_GB2312" w:eastAsia="仿宋_GB2312" w:cs="仿宋_GB2312"/>
          <w:snapToGrid/>
          <w:color w:val="000000"/>
          <w:spacing w:val="0"/>
          <w:kern w:val="21"/>
          <w:sz w:val="32"/>
          <w:szCs w:val="31"/>
          <w:lang w:val="en-US" w:eastAsia="en-US" w:bidi="ar-SA"/>
        </w:rPr>
        <w:t>方案。</w:t>
      </w:r>
    </w:p>
    <w:p w14:paraId="6CC17BEF">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一、总体要求</w:t>
      </w:r>
    </w:p>
    <w:p w14:paraId="27703D5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坚持以习近平新时代中国特色社会主义思想为指导，深入</w:t>
      </w:r>
      <w:r>
        <w:rPr>
          <w:rFonts w:hint="eastAsia" w:ascii="仿宋_GB2312" w:hAnsi="仿宋_GB2312" w:eastAsia="仿宋_GB2312" w:cs="仿宋_GB2312"/>
          <w:snapToGrid/>
          <w:color w:val="000000"/>
          <w:spacing w:val="0"/>
          <w:kern w:val="21"/>
          <w:sz w:val="32"/>
          <w:szCs w:val="31"/>
          <w:lang w:val="en-US" w:eastAsia="zh-CN" w:bidi="ar-SA"/>
        </w:rPr>
        <w:t>贯彻</w:t>
      </w:r>
      <w:r>
        <w:rPr>
          <w:rFonts w:hint="eastAsia" w:ascii="仿宋_GB2312" w:hAnsi="仿宋_GB2312" w:eastAsia="仿宋_GB2312" w:cs="仿宋_GB2312"/>
          <w:snapToGrid/>
          <w:color w:val="000000"/>
          <w:spacing w:val="0"/>
          <w:kern w:val="21"/>
          <w:sz w:val="32"/>
          <w:szCs w:val="31"/>
          <w:lang w:val="en-US" w:eastAsia="en-US" w:bidi="ar-SA"/>
        </w:rPr>
        <w:t>党的二十大、二十届二中、三中全会及中央经济工作会议精神，全面落实习近平总书记考察江西重要讲话精神，紧紧围绕“实施四大战略、聚焦五大路径、实现六大目标”发展思路，以“干字当头、奋发有为，全力推动经济社会高质量发展”为工作主线，全力抓好已签约落户企业开工建设，强化项目推进要素保障服务，切实推动项目早落地、早建成、早投产，形成更多实物工作量，为我县经济社会高质量发展提供</w:t>
      </w:r>
      <w:r>
        <w:rPr>
          <w:rFonts w:hint="eastAsia" w:ascii="仿宋_GB2312" w:hAnsi="仿宋_GB2312" w:eastAsia="仿宋_GB2312" w:cs="仿宋_GB2312"/>
          <w:snapToGrid/>
          <w:color w:val="000000"/>
          <w:spacing w:val="0"/>
          <w:kern w:val="21"/>
          <w:sz w:val="32"/>
          <w:szCs w:val="31"/>
          <w:lang w:val="en-US" w:eastAsia="zh-CN" w:bidi="ar-SA"/>
        </w:rPr>
        <w:t>有</w:t>
      </w:r>
      <w:r>
        <w:rPr>
          <w:rFonts w:hint="eastAsia" w:ascii="仿宋_GB2312" w:hAnsi="仿宋_GB2312" w:eastAsia="仿宋_GB2312" w:cs="仿宋_GB2312"/>
          <w:snapToGrid/>
          <w:color w:val="000000"/>
          <w:spacing w:val="0"/>
          <w:kern w:val="21"/>
          <w:sz w:val="32"/>
          <w:szCs w:val="31"/>
          <w:lang w:val="en-US" w:eastAsia="en-US" w:bidi="ar-SA"/>
        </w:rPr>
        <w:t>力支撑。</w:t>
      </w:r>
    </w:p>
    <w:p w14:paraId="23D438B7">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二、目标任务</w:t>
      </w:r>
    </w:p>
    <w:p w14:paraId="342BD8F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全面推进202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年全县重大重点项目2</w:t>
      </w:r>
      <w:r>
        <w:rPr>
          <w:rFonts w:hint="eastAsia" w:ascii="仿宋_GB2312" w:hAnsi="仿宋_GB2312" w:eastAsia="仿宋_GB2312" w:cs="仿宋_GB2312"/>
          <w:snapToGrid/>
          <w:color w:val="000000"/>
          <w:spacing w:val="0"/>
          <w:kern w:val="21"/>
          <w:sz w:val="32"/>
          <w:szCs w:val="31"/>
          <w:lang w:val="en-US" w:eastAsia="zh-CN" w:bidi="ar-SA"/>
        </w:rPr>
        <w:t>42</w:t>
      </w:r>
      <w:r>
        <w:rPr>
          <w:rFonts w:hint="eastAsia" w:ascii="仿宋_GB2312" w:hAnsi="仿宋_GB2312" w:eastAsia="仿宋_GB2312" w:cs="仿宋_GB2312"/>
          <w:snapToGrid/>
          <w:color w:val="000000"/>
          <w:spacing w:val="0"/>
          <w:kern w:val="21"/>
          <w:sz w:val="32"/>
          <w:szCs w:val="31"/>
          <w:lang w:val="en-US" w:eastAsia="en-US" w:bidi="ar-SA"/>
        </w:rPr>
        <w:t>个（详见附件</w:t>
      </w:r>
      <w:r>
        <w:rPr>
          <w:rFonts w:hint="eastAsia" w:ascii="仿宋_GB2312" w:hAnsi="仿宋_GB2312" w:eastAsia="仿宋_GB2312" w:cs="仿宋_GB2312"/>
          <w:snapToGrid/>
          <w:color w:val="000000"/>
          <w:spacing w:val="0"/>
          <w:kern w:val="21"/>
          <w:sz w:val="32"/>
          <w:szCs w:val="31"/>
          <w:lang w:val="en-US" w:eastAsia="zh-CN" w:bidi="ar-SA"/>
        </w:rPr>
        <w:t>2</w:t>
      </w:r>
      <w:r>
        <w:rPr>
          <w:rFonts w:hint="eastAsia" w:ascii="仿宋_GB2312" w:hAnsi="仿宋_GB2312" w:eastAsia="仿宋_GB2312" w:cs="仿宋_GB2312"/>
          <w:snapToGrid/>
          <w:color w:val="000000"/>
          <w:spacing w:val="0"/>
          <w:kern w:val="21"/>
          <w:sz w:val="32"/>
          <w:szCs w:val="31"/>
          <w:lang w:val="en-US" w:eastAsia="en-US" w:bidi="ar-SA"/>
        </w:rPr>
        <w:t>），总投资</w:t>
      </w:r>
      <w:r>
        <w:rPr>
          <w:rFonts w:hint="eastAsia" w:ascii="仿宋_GB2312" w:hAnsi="仿宋_GB2312" w:eastAsia="仿宋_GB2312" w:cs="仿宋_GB2312"/>
          <w:snapToGrid/>
          <w:color w:val="000000"/>
          <w:spacing w:val="0"/>
          <w:kern w:val="21"/>
          <w:sz w:val="32"/>
          <w:szCs w:val="31"/>
          <w:lang w:val="en-US" w:eastAsia="zh-CN" w:bidi="ar-SA"/>
        </w:rPr>
        <w:t>699.9</w:t>
      </w:r>
      <w:r>
        <w:rPr>
          <w:rFonts w:hint="eastAsia" w:ascii="仿宋_GB2312" w:hAnsi="仿宋_GB2312" w:eastAsia="仿宋_GB2312" w:cs="仿宋_GB2312"/>
          <w:snapToGrid/>
          <w:color w:val="000000"/>
          <w:spacing w:val="0"/>
          <w:kern w:val="21"/>
          <w:sz w:val="32"/>
          <w:szCs w:val="31"/>
          <w:lang w:val="en-US" w:eastAsia="en-US" w:bidi="ar-SA"/>
        </w:rPr>
        <w:t>亿元，年度</w:t>
      </w:r>
      <w:r>
        <w:rPr>
          <w:rFonts w:hint="eastAsia" w:ascii="仿宋_GB2312" w:hAnsi="仿宋_GB2312" w:eastAsia="仿宋_GB2312" w:cs="仿宋_GB2312"/>
          <w:snapToGrid/>
          <w:color w:val="000000"/>
          <w:spacing w:val="0"/>
          <w:kern w:val="21"/>
          <w:sz w:val="32"/>
          <w:szCs w:val="31"/>
          <w:lang w:val="en-US" w:eastAsia="zh-CN" w:bidi="ar-SA"/>
        </w:rPr>
        <w:t>总</w:t>
      </w:r>
      <w:r>
        <w:rPr>
          <w:rFonts w:hint="eastAsia" w:ascii="仿宋_GB2312" w:hAnsi="仿宋_GB2312" w:eastAsia="仿宋_GB2312" w:cs="仿宋_GB2312"/>
          <w:snapToGrid/>
          <w:color w:val="000000"/>
          <w:spacing w:val="0"/>
          <w:kern w:val="21"/>
          <w:sz w:val="32"/>
          <w:szCs w:val="31"/>
          <w:lang w:val="en-US" w:eastAsia="en-US" w:bidi="ar-SA"/>
        </w:rPr>
        <w:t>投资</w:t>
      </w:r>
      <w:r>
        <w:rPr>
          <w:rFonts w:hint="eastAsia" w:ascii="仿宋_GB2312" w:hAnsi="仿宋_GB2312" w:eastAsia="仿宋_GB2312" w:cs="仿宋_GB2312"/>
          <w:snapToGrid/>
          <w:color w:val="000000"/>
          <w:spacing w:val="0"/>
          <w:kern w:val="21"/>
          <w:sz w:val="32"/>
          <w:szCs w:val="31"/>
          <w:lang w:val="en-US" w:eastAsia="zh-CN" w:bidi="ar-SA"/>
        </w:rPr>
        <w:t>209.8</w:t>
      </w:r>
      <w:r>
        <w:rPr>
          <w:rFonts w:hint="eastAsia" w:ascii="仿宋_GB2312" w:hAnsi="仿宋_GB2312" w:eastAsia="仿宋_GB2312" w:cs="仿宋_GB2312"/>
          <w:snapToGrid/>
          <w:color w:val="000000"/>
          <w:spacing w:val="0"/>
          <w:kern w:val="21"/>
          <w:sz w:val="32"/>
          <w:szCs w:val="31"/>
          <w:lang w:val="en-US" w:eastAsia="en-US" w:bidi="ar-SA"/>
        </w:rPr>
        <w:t>亿元。其中：</w:t>
      </w:r>
    </w:p>
    <w:p w14:paraId="05E2A4B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1.制造业领域项目73个，总投资230亿元、年度投资99.4亿元；</w:t>
      </w:r>
    </w:p>
    <w:p w14:paraId="4AA281D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2.现代服务业领域项目29个，总投资204.5亿元，年度投资20.9亿元；</w:t>
      </w:r>
    </w:p>
    <w:p w14:paraId="1C171AD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3.现代农业领域项目29个，总投资31.5亿元，年度投资10.4亿元；</w:t>
      </w:r>
    </w:p>
    <w:p w14:paraId="4D61DA8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4.综合交通领域项目5个，总投资75.7亿元，年度投资12.8亿元；</w:t>
      </w:r>
    </w:p>
    <w:p w14:paraId="4A11C8D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5.能源领域项目11个，总投资21.6亿元，年度投资7.8亿元；</w:t>
      </w:r>
    </w:p>
    <w:p w14:paraId="78110DF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6.水利领域项目11个，总投资12.4亿元，年度投资2亿元；</w:t>
      </w:r>
    </w:p>
    <w:p w14:paraId="5055B6B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7.新型基础设施领域项目7个，总投资8.0亿元，年度投资3.6亿元；</w:t>
      </w:r>
    </w:p>
    <w:p w14:paraId="74D56B5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8.城市基础设施领域项目28个，总投资26.8亿元，年度投资7.8亿元；</w:t>
      </w:r>
    </w:p>
    <w:p w14:paraId="62BFCE0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9.公共服务领域项目30个，总投资57.9亿元，年度投资22.8亿元；</w:t>
      </w:r>
    </w:p>
    <w:p w14:paraId="5AA02B3C">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10.生态环保领域项目19个，总投资31.5亿元，年度投资22.1亿元。</w:t>
      </w:r>
    </w:p>
    <w:p w14:paraId="3B1751FC">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年拟申报</w:t>
      </w:r>
      <w:r>
        <w:rPr>
          <w:rFonts w:hint="eastAsia" w:ascii="仿宋_GB2312" w:hAnsi="仿宋_GB2312" w:eastAsia="仿宋_GB2312" w:cs="仿宋_GB2312"/>
          <w:snapToGrid/>
          <w:color w:val="000000"/>
          <w:spacing w:val="0"/>
          <w:kern w:val="21"/>
          <w:sz w:val="32"/>
          <w:szCs w:val="31"/>
          <w:lang w:val="en-US" w:eastAsia="zh-CN" w:bidi="ar-SA"/>
        </w:rPr>
        <w:t>的</w:t>
      </w:r>
      <w:r>
        <w:rPr>
          <w:rFonts w:hint="eastAsia" w:ascii="仿宋_GB2312" w:hAnsi="仿宋_GB2312" w:eastAsia="仿宋_GB2312" w:cs="仿宋_GB2312"/>
          <w:snapToGrid/>
          <w:color w:val="000000"/>
          <w:spacing w:val="0"/>
          <w:kern w:val="21"/>
          <w:sz w:val="32"/>
          <w:szCs w:val="31"/>
          <w:lang w:val="en-US" w:eastAsia="en-US" w:bidi="ar-SA"/>
        </w:rPr>
        <w:t>市重大重点项目78个，包括省大中型项目32个，市重点推进项目5个</w:t>
      </w:r>
      <w:r>
        <w:rPr>
          <w:rFonts w:hint="eastAsia" w:ascii="仿宋_GB2312" w:hAnsi="仿宋_GB2312" w:eastAsia="仿宋_GB2312" w:cs="仿宋_GB2312"/>
          <w:snapToGrid/>
          <w:color w:val="000000"/>
          <w:spacing w:val="0"/>
          <w:kern w:val="21"/>
          <w:sz w:val="32"/>
          <w:szCs w:val="31"/>
          <w:lang w:val="en-US" w:eastAsia="zh-CN" w:bidi="ar-SA"/>
        </w:rPr>
        <w:t>。</w:t>
      </w:r>
    </w:p>
    <w:p w14:paraId="6EB83D04">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三、组织保障</w:t>
      </w:r>
    </w:p>
    <w:p w14:paraId="4FAB4C7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成立进贤县重大重点项目推进</w:t>
      </w:r>
      <w:r>
        <w:rPr>
          <w:rFonts w:hint="eastAsia" w:ascii="仿宋_GB2312" w:hAnsi="仿宋_GB2312" w:eastAsia="仿宋_GB2312" w:cs="仿宋_GB2312"/>
          <w:snapToGrid/>
          <w:color w:val="000000"/>
          <w:spacing w:val="0"/>
          <w:kern w:val="21"/>
          <w:sz w:val="32"/>
          <w:szCs w:val="31"/>
          <w:lang w:val="en-US" w:eastAsia="zh-CN" w:bidi="ar-SA"/>
        </w:rPr>
        <w:t>工作部门联席会议</w:t>
      </w:r>
      <w:r>
        <w:rPr>
          <w:rFonts w:hint="eastAsia" w:ascii="仿宋_GB2312" w:hAnsi="仿宋_GB2312" w:eastAsia="仿宋_GB2312" w:cs="仿宋_GB2312"/>
          <w:snapToGrid/>
          <w:color w:val="000000"/>
          <w:spacing w:val="0"/>
          <w:kern w:val="21"/>
          <w:sz w:val="32"/>
          <w:szCs w:val="31"/>
          <w:lang w:val="en-US" w:eastAsia="en-US" w:bidi="ar-SA"/>
        </w:rPr>
        <w:t>，组成人员如下：</w:t>
      </w:r>
    </w:p>
    <w:p w14:paraId="3C57DC1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总负责：徐  强  县委书记</w:t>
      </w:r>
    </w:p>
    <w:p w14:paraId="5E124884">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组  长：熊  辉  县委副书记、县长</w:t>
      </w:r>
    </w:p>
    <w:p w14:paraId="2C999AA7">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副组长：叶  飞  县委副书记</w:t>
      </w:r>
    </w:p>
    <w:p w14:paraId="0E15226F">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郭保庚  县人大常委会主任</w:t>
      </w:r>
    </w:p>
    <w:p w14:paraId="60C8F7EE">
      <w:pPr>
        <w:keepNext w:val="0"/>
        <w:keepLines w:val="0"/>
        <w:pageBreakBefore w:val="0"/>
        <w:widowControl w:val="0"/>
        <w:kinsoku/>
        <w:wordWrap w:val="0"/>
        <w:overflowPunct/>
        <w:topLinePunct/>
        <w:autoSpaceDE/>
        <w:autoSpaceDN/>
        <w:bidi w:val="0"/>
        <w:adjustRightInd/>
        <w:snapToGrid/>
        <w:spacing w:line="600" w:lineRule="exact"/>
        <w:ind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周  丽  县政协主席</w:t>
      </w:r>
    </w:p>
    <w:p w14:paraId="12CC9486">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曾  晋  县委常委、统战部部长</w:t>
      </w:r>
    </w:p>
    <w:p w14:paraId="270CC4BD">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陈  云  县委常委、人武部政委</w:t>
      </w:r>
    </w:p>
    <w:p w14:paraId="7B5961ED">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钱太高  县委常委、常务副县长</w:t>
      </w:r>
    </w:p>
    <w:p w14:paraId="3B0F0C6B">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徐永钢  县委常委、组织部部长</w:t>
      </w:r>
    </w:p>
    <w:p w14:paraId="49A78DC6">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 xml:space="preserve">聂红兵  </w:t>
      </w:r>
      <w:r>
        <w:rPr>
          <w:rFonts w:hint="eastAsia" w:ascii="仿宋_GB2312" w:hAnsi="仿宋_GB2312" w:eastAsia="仿宋_GB2312" w:cs="仿宋_GB2312"/>
          <w:snapToGrid/>
          <w:color w:val="000000"/>
          <w:spacing w:val="-20"/>
          <w:kern w:val="21"/>
          <w:sz w:val="32"/>
          <w:szCs w:val="31"/>
          <w:lang w:val="en-US" w:eastAsia="zh-CN" w:bidi="ar-SA"/>
        </w:rPr>
        <w:t>县委常委、副县长，县产业园党工委书记</w:t>
      </w:r>
    </w:p>
    <w:p w14:paraId="2CFA8201">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凌  婧  县委常委、宣传部部长</w:t>
      </w:r>
    </w:p>
    <w:p w14:paraId="3111B655">
      <w:pPr>
        <w:keepNext w:val="0"/>
        <w:keepLines w:val="0"/>
        <w:pageBreakBefore w:val="0"/>
        <w:widowControl w:val="0"/>
        <w:kinsoku/>
        <w:wordWrap w:val="0"/>
        <w:overflowPunct/>
        <w:topLinePunct/>
        <w:autoSpaceDE/>
        <w:autoSpaceDN/>
        <w:bidi w:val="0"/>
        <w:adjustRightInd/>
        <w:snapToGrid/>
        <w:spacing w:line="600" w:lineRule="exact"/>
        <w:ind w:right="0" w:firstLine="3200" w:firstLineChars="10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县委常委、政法委书记</w:t>
      </w:r>
    </w:p>
    <w:p w14:paraId="6ABF77F4">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郑  勇  县人武部部长</w:t>
      </w:r>
    </w:p>
    <w:p w14:paraId="798DC0F1">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熊志清  县人大常委会副主任</w:t>
      </w:r>
    </w:p>
    <w:p w14:paraId="5FC0C0E1">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吴克清  县人大常委会副主任、县总工会主席</w:t>
      </w:r>
    </w:p>
    <w:p w14:paraId="4CE3ADF3">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陈灵燕  县人大常委会副主任</w:t>
      </w:r>
    </w:p>
    <w:p w14:paraId="7A34D95E">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付国成  县人大常委会副主任</w:t>
      </w:r>
    </w:p>
    <w:p w14:paraId="0FAF0732">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邹忠文  县人大常委会副主任</w:t>
      </w:r>
    </w:p>
    <w:p w14:paraId="6D7884F6">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余  葵  县人大常委会副主任</w:t>
      </w:r>
    </w:p>
    <w:p w14:paraId="331DABE3">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舒  丹  县政府副县长</w:t>
      </w:r>
    </w:p>
    <w:p w14:paraId="38C0F115">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吴  宽  县政府副县长</w:t>
      </w:r>
    </w:p>
    <w:p w14:paraId="601853E3">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熊  军  县政府副县长</w:t>
      </w:r>
    </w:p>
    <w:p w14:paraId="5FA13469">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熊伊晖  县政府副县长</w:t>
      </w:r>
    </w:p>
    <w:p w14:paraId="6A648731">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高  波  县政府副县长、县公安局局长</w:t>
      </w:r>
    </w:p>
    <w:p w14:paraId="30BF6560">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杜  卿  县政府副县长</w:t>
      </w:r>
    </w:p>
    <w:p w14:paraId="4ECFEF86">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胡鹏跃  县政协副主席</w:t>
      </w:r>
    </w:p>
    <w:p w14:paraId="72B34EC9">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段龙根  县政协副主席</w:t>
      </w:r>
    </w:p>
    <w:p w14:paraId="13AF3EED">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周欢庆  县政协副主席</w:t>
      </w:r>
    </w:p>
    <w:p w14:paraId="48A7C31C">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周胜明  县政协副主席</w:t>
      </w:r>
    </w:p>
    <w:p w14:paraId="18E4243A">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郦  丽  县政协副主席</w:t>
      </w:r>
    </w:p>
    <w:p w14:paraId="390D025D">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蔡明华  县政协副主席</w:t>
      </w:r>
    </w:p>
    <w:p w14:paraId="523E0BCA">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高  珊  县政协副主席</w:t>
      </w:r>
    </w:p>
    <w:p w14:paraId="7212EAC9">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安文生  县人民法院院长</w:t>
      </w:r>
    </w:p>
    <w:p w14:paraId="532B07FA">
      <w:pPr>
        <w:keepNext w:val="0"/>
        <w:keepLines w:val="0"/>
        <w:pageBreakBefore w:val="0"/>
        <w:widowControl w:val="0"/>
        <w:kinsoku/>
        <w:wordWrap w:val="0"/>
        <w:overflowPunct/>
        <w:topLinePunct/>
        <w:autoSpaceDE/>
        <w:autoSpaceDN/>
        <w:bidi w:val="0"/>
        <w:adjustRightInd/>
        <w:snapToGrid/>
        <w:spacing w:line="600" w:lineRule="exact"/>
        <w:ind w:left="0" w:leftChars="0" w:right="0" w:firstLine="1920" w:firstLineChars="6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赵雪艳  县人民检察院检察长</w:t>
      </w:r>
    </w:p>
    <w:p w14:paraId="4427BA27">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default" w:ascii="仿宋_GB2312" w:hAnsi="仿宋_GB2312" w:eastAsia="仿宋_GB2312" w:cs="仿宋_GB2312"/>
          <w:snapToGrid/>
          <w:color w:val="000000"/>
          <w:spacing w:val="0"/>
          <w:kern w:val="21"/>
          <w:sz w:val="32"/>
          <w:szCs w:val="31"/>
          <w:lang w:val="en-US" w:eastAsia="zh-CN" w:bidi="ar-SA"/>
        </w:rPr>
        <w:t>成员：县委办、政府办、发改委、科工信局、卫健委、教体局、文广新旅局、财政局、公安局、交通局、住建局、南昌市进贤生态环境局、水利局、农业农村局、林业局、自然资源局、商务局、城管局、县重点项目</w:t>
      </w:r>
      <w:r>
        <w:rPr>
          <w:rFonts w:hint="eastAsia" w:ascii="仿宋_GB2312" w:hAnsi="仿宋_GB2312" w:eastAsia="仿宋_GB2312" w:cs="仿宋_GB2312"/>
          <w:snapToGrid/>
          <w:color w:val="000000"/>
          <w:spacing w:val="0"/>
          <w:kern w:val="21"/>
          <w:sz w:val="32"/>
          <w:szCs w:val="31"/>
          <w:lang w:val="en-US" w:eastAsia="zh-CN" w:bidi="ar-SA"/>
        </w:rPr>
        <w:t>管理</w:t>
      </w:r>
      <w:r>
        <w:rPr>
          <w:rFonts w:hint="default" w:ascii="仿宋_GB2312" w:hAnsi="仿宋_GB2312" w:eastAsia="仿宋_GB2312" w:cs="仿宋_GB2312"/>
          <w:snapToGrid/>
          <w:color w:val="000000"/>
          <w:spacing w:val="0"/>
          <w:kern w:val="21"/>
          <w:sz w:val="32"/>
          <w:szCs w:val="31"/>
          <w:lang w:val="en-US" w:eastAsia="zh-CN" w:bidi="ar-SA"/>
        </w:rPr>
        <w:t>中心、</w:t>
      </w:r>
      <w:r>
        <w:rPr>
          <w:rFonts w:hint="eastAsia" w:ascii="仿宋_GB2312" w:hAnsi="仿宋_GB2312" w:eastAsia="仿宋_GB2312" w:cs="仿宋_GB2312"/>
          <w:snapToGrid/>
          <w:color w:val="000000"/>
          <w:spacing w:val="0"/>
          <w:kern w:val="21"/>
          <w:sz w:val="32"/>
          <w:szCs w:val="31"/>
          <w:lang w:val="en-US" w:eastAsia="zh-CN" w:bidi="ar-SA"/>
        </w:rPr>
        <w:t>县粮食保障中心、县大数据中心、县住房保障中心、产业园</w:t>
      </w:r>
      <w:r>
        <w:rPr>
          <w:rFonts w:hint="default"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zh-CN" w:bidi="ar-SA"/>
        </w:rPr>
        <w:t>国投公司</w:t>
      </w:r>
      <w:r>
        <w:rPr>
          <w:rFonts w:hint="default" w:ascii="仿宋_GB2312" w:hAnsi="仿宋_GB2312" w:eastAsia="仿宋_GB2312" w:cs="仿宋_GB2312"/>
          <w:snapToGrid/>
          <w:color w:val="000000"/>
          <w:spacing w:val="0"/>
          <w:kern w:val="21"/>
          <w:sz w:val="32"/>
          <w:szCs w:val="31"/>
          <w:lang w:val="en-US" w:eastAsia="zh-CN" w:bidi="ar-SA"/>
        </w:rPr>
        <w:t>等单位主要负责同志以及各乡镇党政主要负责同志。</w:t>
      </w:r>
    </w:p>
    <w:p w14:paraId="11EBACC4">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default"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县重大重点项目推进工作部门联席会议</w:t>
      </w:r>
      <w:r>
        <w:rPr>
          <w:rFonts w:hint="default" w:ascii="仿宋_GB2312" w:hAnsi="仿宋_GB2312" w:eastAsia="仿宋_GB2312" w:cs="仿宋_GB2312"/>
          <w:snapToGrid/>
          <w:color w:val="000000"/>
          <w:spacing w:val="0"/>
          <w:kern w:val="21"/>
          <w:sz w:val="32"/>
          <w:szCs w:val="31"/>
          <w:lang w:val="en-US" w:eastAsia="zh-CN" w:bidi="ar-SA"/>
        </w:rPr>
        <w:t>办公室</w:t>
      </w:r>
      <w:r>
        <w:rPr>
          <w:rFonts w:hint="eastAsia" w:ascii="仿宋_GB2312" w:hAnsi="仿宋_GB2312" w:eastAsia="仿宋_GB2312" w:cs="仿宋_GB2312"/>
          <w:snapToGrid/>
          <w:color w:val="000000"/>
          <w:spacing w:val="0"/>
          <w:kern w:val="21"/>
          <w:sz w:val="32"/>
          <w:szCs w:val="31"/>
          <w:lang w:val="en-US" w:eastAsia="zh-CN" w:bidi="ar-SA"/>
        </w:rPr>
        <w:t>（以下简称项目联席办）</w:t>
      </w:r>
      <w:r>
        <w:rPr>
          <w:rFonts w:hint="default" w:ascii="仿宋_GB2312" w:hAnsi="仿宋_GB2312" w:eastAsia="仿宋_GB2312" w:cs="仿宋_GB2312"/>
          <w:snapToGrid/>
          <w:color w:val="000000"/>
          <w:spacing w:val="0"/>
          <w:kern w:val="21"/>
          <w:sz w:val="32"/>
          <w:szCs w:val="31"/>
          <w:lang w:val="en-US" w:eastAsia="zh-CN" w:bidi="ar-SA"/>
        </w:rPr>
        <w:t>设在县重点项目</w:t>
      </w:r>
      <w:r>
        <w:rPr>
          <w:rFonts w:hint="eastAsia" w:ascii="仿宋_GB2312" w:hAnsi="仿宋_GB2312" w:eastAsia="仿宋_GB2312" w:cs="仿宋_GB2312"/>
          <w:snapToGrid/>
          <w:color w:val="000000"/>
          <w:spacing w:val="0"/>
          <w:kern w:val="21"/>
          <w:sz w:val="32"/>
          <w:szCs w:val="31"/>
          <w:lang w:val="en-US" w:eastAsia="zh-CN" w:bidi="ar-SA"/>
        </w:rPr>
        <w:t>管理</w:t>
      </w:r>
      <w:r>
        <w:rPr>
          <w:rFonts w:hint="default" w:ascii="仿宋_GB2312" w:hAnsi="仿宋_GB2312" w:eastAsia="仿宋_GB2312" w:cs="仿宋_GB2312"/>
          <w:snapToGrid/>
          <w:color w:val="000000"/>
          <w:spacing w:val="0"/>
          <w:kern w:val="21"/>
          <w:sz w:val="32"/>
          <w:szCs w:val="31"/>
          <w:lang w:val="en-US" w:eastAsia="zh-CN" w:bidi="ar-SA"/>
        </w:rPr>
        <w:t>中心</w:t>
      </w:r>
      <w:r>
        <w:rPr>
          <w:rFonts w:hint="eastAsia" w:ascii="仿宋_GB2312" w:hAnsi="仿宋_GB2312" w:eastAsia="仿宋_GB2312" w:cs="仿宋_GB2312"/>
          <w:snapToGrid/>
          <w:color w:val="000000"/>
          <w:spacing w:val="0"/>
          <w:kern w:val="21"/>
          <w:sz w:val="32"/>
          <w:szCs w:val="31"/>
          <w:lang w:val="en-US" w:eastAsia="zh-CN" w:bidi="ar-SA"/>
        </w:rPr>
        <w:t>，</w:t>
      </w:r>
      <w:r>
        <w:rPr>
          <w:rFonts w:hint="default" w:ascii="仿宋_GB2312" w:hAnsi="仿宋_GB2312" w:eastAsia="仿宋_GB2312" w:cs="仿宋_GB2312"/>
          <w:snapToGrid/>
          <w:color w:val="000000"/>
          <w:spacing w:val="0"/>
          <w:kern w:val="21"/>
          <w:sz w:val="32"/>
          <w:szCs w:val="31"/>
          <w:lang w:val="en-US" w:eastAsia="zh-CN" w:bidi="ar-SA"/>
        </w:rPr>
        <w:t>主要职责为负责统筹协调全县重大重点推进及对全县重大重点项目进行督查考核工作。</w:t>
      </w:r>
      <w:r>
        <w:rPr>
          <w:rFonts w:hint="eastAsia" w:ascii="仿宋_GB2312" w:hAnsi="仿宋_GB2312" w:eastAsia="仿宋_GB2312" w:cs="仿宋_GB2312"/>
          <w:snapToGrid/>
          <w:color w:val="000000"/>
          <w:spacing w:val="0"/>
          <w:kern w:val="21"/>
          <w:sz w:val="32"/>
          <w:szCs w:val="31"/>
          <w:lang w:val="en-US" w:eastAsia="zh-CN" w:bidi="ar-SA"/>
        </w:rPr>
        <w:t>办公室</w:t>
      </w:r>
      <w:r>
        <w:rPr>
          <w:rFonts w:hint="default" w:ascii="仿宋_GB2312" w:hAnsi="仿宋_GB2312" w:eastAsia="仿宋_GB2312" w:cs="仿宋_GB2312"/>
          <w:snapToGrid/>
          <w:color w:val="000000"/>
          <w:spacing w:val="0"/>
          <w:kern w:val="21"/>
          <w:sz w:val="32"/>
          <w:szCs w:val="31"/>
          <w:lang w:val="en-US" w:eastAsia="zh-CN" w:bidi="ar-SA"/>
        </w:rPr>
        <w:t>主任由</w:t>
      </w:r>
      <w:r>
        <w:rPr>
          <w:rFonts w:hint="eastAsia" w:ascii="仿宋_GB2312" w:hAnsi="仿宋_GB2312" w:eastAsia="仿宋_GB2312" w:cs="仿宋_GB2312"/>
          <w:snapToGrid/>
          <w:color w:val="000000"/>
          <w:spacing w:val="0"/>
          <w:kern w:val="21"/>
          <w:sz w:val="32"/>
          <w:szCs w:val="31"/>
          <w:lang w:val="en-US" w:eastAsia="zh-CN" w:bidi="ar-SA"/>
        </w:rPr>
        <w:t>钱太高</w:t>
      </w:r>
      <w:r>
        <w:rPr>
          <w:rFonts w:hint="default" w:ascii="仿宋_GB2312" w:hAnsi="仿宋_GB2312" w:eastAsia="仿宋_GB2312" w:cs="仿宋_GB2312"/>
          <w:snapToGrid/>
          <w:color w:val="000000"/>
          <w:spacing w:val="0"/>
          <w:kern w:val="21"/>
          <w:sz w:val="32"/>
          <w:szCs w:val="31"/>
          <w:lang w:val="en-US" w:eastAsia="zh-CN" w:bidi="ar-SA"/>
        </w:rPr>
        <w:t>同志兼任，副主任由樊小凌同志兼任。</w:t>
      </w:r>
    </w:p>
    <w:p w14:paraId="1F7A9CA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zh-CN" w:bidi="ar-SA"/>
        </w:rPr>
        <w:t>联席会议</w:t>
      </w:r>
      <w:r>
        <w:rPr>
          <w:rFonts w:hint="eastAsia" w:ascii="仿宋_GB2312" w:hAnsi="仿宋_GB2312" w:eastAsia="仿宋_GB2312" w:cs="仿宋_GB2312"/>
          <w:snapToGrid/>
          <w:color w:val="000000"/>
          <w:spacing w:val="0"/>
          <w:kern w:val="21"/>
          <w:sz w:val="32"/>
          <w:szCs w:val="31"/>
          <w:lang w:val="en-US" w:eastAsia="en-US" w:bidi="ar-SA"/>
        </w:rPr>
        <w:t>工作职责。负责统筹推进全县重大重点项目工作，具体为：</w:t>
      </w:r>
    </w:p>
    <w:p w14:paraId="39E70D4F">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ascii="仿宋_GB2312" w:hAnsi="仿宋_GB2312" w:eastAsia="仿宋_GB2312" w:cs="FangSong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（一）项目责任县领导：</w:t>
      </w:r>
      <w:r>
        <w:rPr>
          <w:rFonts w:hint="eastAsia" w:ascii="仿宋_GB2312" w:hAnsi="仿宋_GB2312" w:eastAsia="仿宋_GB2312" w:cs="仿宋_GB2312"/>
          <w:snapToGrid/>
          <w:color w:val="000000"/>
          <w:spacing w:val="0"/>
          <w:kern w:val="21"/>
          <w:sz w:val="32"/>
          <w:szCs w:val="31"/>
          <w:lang w:val="en-US" w:eastAsia="en-US" w:bidi="ar-SA"/>
        </w:rPr>
        <w:t>对所挂点的重大重点项目跟踪服务工作负总责，经常深入项目现场督促指导，做好所联系项目涉及县有关职能部门的协调沟通工作，指导督促项目责任单位按期完成项目推进目标任务。各分管县领导根据项目推进过程中出现的困难问题所属的类别，由该类别分管县领导进行分口集中调度。</w:t>
      </w:r>
    </w:p>
    <w:p w14:paraId="5D746FD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（二）项目责任单位：</w:t>
      </w:r>
      <w:r>
        <w:rPr>
          <w:rFonts w:hint="eastAsia" w:ascii="仿宋_GB2312" w:hAnsi="仿宋_GB2312" w:eastAsia="仿宋_GB2312" w:cs="仿宋_GB2312"/>
          <w:snapToGrid/>
          <w:color w:val="000000"/>
          <w:spacing w:val="0"/>
          <w:kern w:val="21"/>
          <w:sz w:val="32"/>
          <w:szCs w:val="31"/>
          <w:lang w:val="en-US" w:eastAsia="en-US" w:bidi="ar-SA"/>
        </w:rPr>
        <w:t>单位主要领导对所负责的重大重点项目推进工作负直接责任；对每个项目都要组建一个临时党支部，成立工作班子，落实专人负责，主动与项目实施单位</w:t>
      </w:r>
      <w:r>
        <w:rPr>
          <w:rFonts w:hint="eastAsia"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en-US" w:bidi="ar-SA"/>
        </w:rPr>
        <w:t>业主</w:t>
      </w:r>
      <w:r>
        <w:rPr>
          <w:rFonts w:hint="eastAsia"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en-US" w:bidi="ar-SA"/>
        </w:rPr>
        <w:t>衔接，制定倒排工期表；每周至少1次深入项目现场，及时掌握项目动态，了解工程进展、形象进度，及时发现和解决项目推进中的具体问题。</w:t>
      </w:r>
    </w:p>
    <w:p w14:paraId="431DEAC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（三）项目建设单位</w:t>
      </w:r>
      <w:r>
        <w:rPr>
          <w:rFonts w:hint="eastAsia" w:ascii="华文楷体" w:hAnsi="华文楷体" w:eastAsia="华文楷体" w:cs="华文楷体"/>
          <w:b/>
          <w:bCs/>
          <w:snapToGrid/>
          <w:color w:val="000000"/>
          <w:spacing w:val="0"/>
          <w:kern w:val="21"/>
          <w:sz w:val="32"/>
          <w:szCs w:val="31"/>
          <w:lang w:val="en-US" w:eastAsia="zh-CN" w:bidi="ar-SA"/>
        </w:rPr>
        <w:t>（</w:t>
      </w:r>
      <w:r>
        <w:rPr>
          <w:rFonts w:hint="eastAsia" w:ascii="华文楷体" w:hAnsi="华文楷体" w:eastAsia="华文楷体" w:cs="华文楷体"/>
          <w:b/>
          <w:bCs/>
          <w:snapToGrid/>
          <w:color w:val="000000"/>
          <w:spacing w:val="0"/>
          <w:kern w:val="21"/>
          <w:sz w:val="32"/>
          <w:szCs w:val="31"/>
          <w:lang w:val="en-US" w:eastAsia="en-US" w:bidi="ar-SA"/>
        </w:rPr>
        <w:t>业主</w:t>
      </w:r>
      <w:r>
        <w:rPr>
          <w:rFonts w:hint="eastAsia" w:ascii="华文楷体" w:hAnsi="华文楷体" w:eastAsia="华文楷体" w:cs="华文楷体"/>
          <w:b/>
          <w:bCs/>
          <w:snapToGrid/>
          <w:color w:val="000000"/>
          <w:spacing w:val="0"/>
          <w:kern w:val="21"/>
          <w:sz w:val="32"/>
          <w:szCs w:val="31"/>
          <w:lang w:val="en-US" w:eastAsia="zh-CN" w:bidi="ar-SA"/>
        </w:rPr>
        <w:t>）</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en-US" w:bidi="ar-SA"/>
        </w:rPr>
        <w:t>对项目前期报批、资金筹措、招标投标、工程质量、生产安全等方面负全责，协调施工队伍合理安排工期并加快施工进度，及时向责任县领导和责任单位汇报项目进展情况及项目建设过程中遇到的困难和问题，主动配合有关部门解决好影响项目建设进度的问题，确保项目顺利实施。</w:t>
      </w:r>
    </w:p>
    <w:p w14:paraId="2F725EF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（四）项目要素保障单位：</w:t>
      </w:r>
      <w:r>
        <w:rPr>
          <w:rFonts w:hint="eastAsia" w:ascii="仿宋_GB2312" w:hAnsi="仿宋_GB2312" w:eastAsia="仿宋_GB2312" w:cs="仿宋_GB2312"/>
          <w:snapToGrid/>
          <w:color w:val="000000"/>
          <w:spacing w:val="0"/>
          <w:kern w:val="21"/>
          <w:sz w:val="32"/>
          <w:szCs w:val="31"/>
          <w:lang w:val="en-US" w:eastAsia="en-US" w:bidi="ar-SA"/>
        </w:rPr>
        <w:t>成立由县委常委、常务副县长</w:t>
      </w:r>
      <w:r>
        <w:rPr>
          <w:rFonts w:hint="eastAsia" w:ascii="仿宋_GB2312" w:hAnsi="仿宋_GB2312" w:eastAsia="仿宋_GB2312" w:cs="仿宋_GB2312"/>
          <w:snapToGrid/>
          <w:color w:val="000000"/>
          <w:spacing w:val="0"/>
          <w:kern w:val="21"/>
          <w:sz w:val="32"/>
          <w:szCs w:val="31"/>
          <w:lang w:val="en-US" w:eastAsia="zh-CN" w:bidi="ar-SA"/>
        </w:rPr>
        <w:t>钱太高</w:t>
      </w:r>
      <w:r>
        <w:rPr>
          <w:rFonts w:hint="eastAsia" w:ascii="仿宋_GB2312" w:hAnsi="仿宋_GB2312" w:eastAsia="仿宋_GB2312" w:cs="仿宋_GB2312"/>
          <w:snapToGrid/>
          <w:color w:val="000000"/>
          <w:spacing w:val="0"/>
          <w:kern w:val="21"/>
          <w:sz w:val="32"/>
          <w:szCs w:val="31"/>
          <w:lang w:val="en-US" w:eastAsia="en-US" w:bidi="ar-SA"/>
        </w:rPr>
        <w:t>为组长，所涉分管副县长为副组长，县发改委、财政局、住建局、进贤生态环境局、水利局、林业局、自然资源和规划局、重点项目管理中心、金融服务中心、</w:t>
      </w:r>
      <w:r>
        <w:rPr>
          <w:rFonts w:hint="eastAsia" w:ascii="仿宋_GB2312" w:hAnsi="仿宋_GB2312" w:eastAsia="仿宋_GB2312" w:cs="仿宋_GB2312"/>
          <w:snapToGrid/>
          <w:color w:val="000000"/>
          <w:spacing w:val="0"/>
          <w:kern w:val="21"/>
          <w:sz w:val="32"/>
          <w:szCs w:val="31"/>
          <w:lang w:val="en-US" w:eastAsia="zh-CN" w:bidi="ar-SA"/>
        </w:rPr>
        <w:t>国投公司</w:t>
      </w:r>
      <w:r>
        <w:rPr>
          <w:rFonts w:hint="eastAsia" w:ascii="仿宋_GB2312" w:hAnsi="仿宋_GB2312" w:eastAsia="仿宋_GB2312" w:cs="仿宋_GB2312"/>
          <w:snapToGrid/>
          <w:color w:val="000000"/>
          <w:spacing w:val="0"/>
          <w:kern w:val="21"/>
          <w:sz w:val="32"/>
          <w:szCs w:val="31"/>
          <w:lang w:val="en-US" w:eastAsia="en-US" w:bidi="ar-SA"/>
        </w:rPr>
        <w:t>等主要负责人为成员的要素保障组。</w:t>
      </w:r>
      <w:r>
        <w:rPr>
          <w:rFonts w:hint="eastAsia" w:ascii="仿宋_GB2312" w:hAnsi="仿宋_GB2312" w:eastAsia="仿宋_GB2312" w:cs="仿宋_GB2312"/>
          <w:snapToGrid/>
          <w:color w:val="000000"/>
          <w:spacing w:val="0"/>
          <w:kern w:val="21"/>
          <w:sz w:val="32"/>
          <w:szCs w:val="31"/>
          <w:lang w:val="en-US" w:eastAsia="zh-CN" w:bidi="ar-SA"/>
        </w:rPr>
        <w:t>其</w:t>
      </w:r>
      <w:r>
        <w:rPr>
          <w:rFonts w:hint="eastAsia" w:ascii="仿宋_GB2312" w:hAnsi="仿宋_GB2312" w:eastAsia="仿宋_GB2312" w:cs="仿宋_GB2312"/>
          <w:snapToGrid/>
          <w:color w:val="000000"/>
          <w:spacing w:val="0"/>
          <w:kern w:val="21"/>
          <w:sz w:val="32"/>
          <w:szCs w:val="31"/>
          <w:lang w:val="en-US" w:eastAsia="en-US" w:bidi="ar-SA"/>
        </w:rPr>
        <w:t>主要职责是协同加快项目审批</w:t>
      </w:r>
      <w:r>
        <w:rPr>
          <w:rFonts w:hint="eastAsia"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en-US" w:bidi="ar-SA"/>
        </w:rPr>
        <w:t>备案</w:t>
      </w:r>
      <w:r>
        <w:rPr>
          <w:rFonts w:hint="eastAsia"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en-US" w:bidi="ar-SA"/>
        </w:rPr>
        <w:t>、规划、选址、用地、环评、施工许可、竣工验收等事项办理，全面落实项目建设涉及征地拆迁、用地指标、水电气等要素保障，推动项目早开工、早建设；主动指导、协调、解决重大重点项目建设过程中遇到的困难问题，确保项目早竣工、早投产。</w:t>
      </w:r>
    </w:p>
    <w:p w14:paraId="1372D163">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1.项目审批：</w:t>
      </w:r>
      <w:r>
        <w:rPr>
          <w:rFonts w:hint="eastAsia" w:ascii="仿宋_GB2312" w:hAnsi="仿宋_GB2312" w:eastAsia="仿宋_GB2312" w:cs="仿宋_GB2312"/>
          <w:snapToGrid/>
          <w:color w:val="000000"/>
          <w:spacing w:val="0"/>
          <w:kern w:val="21"/>
          <w:sz w:val="32"/>
          <w:szCs w:val="31"/>
          <w:lang w:val="en-US" w:eastAsia="en-US" w:bidi="ar-SA"/>
        </w:rPr>
        <w:t>持续深化“放管服”改革，加快重大重点项目“网上办”改革，提升网办率，继续实行“容缺审批+承诺制”办理模式，全面落实行政审批帮办代办服务机制，为企业提供高效、精准服务。</w:t>
      </w:r>
    </w:p>
    <w:p w14:paraId="64F826D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b/>
          <w:bCs/>
          <w:snapToGrid/>
          <w:color w:val="000000"/>
          <w:spacing w:val="0"/>
          <w:kern w:val="21"/>
          <w:sz w:val="32"/>
          <w:szCs w:val="31"/>
          <w:lang w:val="en-US" w:eastAsia="en-US" w:bidi="ar-SA"/>
        </w:rPr>
        <w:t>2.土地保障：</w:t>
      </w:r>
      <w:r>
        <w:rPr>
          <w:rFonts w:hint="eastAsia" w:ascii="仿宋_GB2312" w:hAnsi="仿宋_GB2312" w:eastAsia="仿宋_GB2312" w:cs="仿宋_GB2312"/>
          <w:snapToGrid/>
          <w:color w:val="000000"/>
          <w:spacing w:val="0"/>
          <w:kern w:val="21"/>
          <w:sz w:val="32"/>
          <w:szCs w:val="31"/>
          <w:lang w:val="en-US" w:eastAsia="en-US" w:bidi="ar-SA"/>
        </w:rPr>
        <w:t>积极盘活存量土地，加快新增建设用地指标报批、用地性质转换等工作，优先保障重大重点项目用地需求</w:t>
      </w:r>
      <w:r>
        <w:rPr>
          <w:rFonts w:hint="eastAsia" w:ascii="仿宋_GB2312" w:hAnsi="仿宋_GB2312" w:eastAsia="仿宋_GB2312" w:cs="仿宋_GB2312"/>
          <w:snapToGrid/>
          <w:color w:val="000000"/>
          <w:spacing w:val="0"/>
          <w:kern w:val="21"/>
          <w:sz w:val="32"/>
          <w:szCs w:val="31"/>
          <w:lang w:val="en-US" w:eastAsia="zh-CN" w:bidi="ar-SA"/>
        </w:rPr>
        <w:t>。</w:t>
      </w:r>
    </w:p>
    <w:p w14:paraId="7CCE809B">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3.资金保障</w:t>
      </w:r>
      <w:r>
        <w:rPr>
          <w:rFonts w:hint="eastAsia" w:ascii="仿宋_GB2312" w:hAnsi="仿宋_GB2312" w:eastAsia="仿宋_GB2312" w:cs="仿宋_GB2312"/>
          <w:snapToGrid/>
          <w:color w:val="000000"/>
          <w:spacing w:val="0"/>
          <w:kern w:val="21"/>
          <w:sz w:val="32"/>
          <w:szCs w:val="31"/>
          <w:lang w:val="en-US" w:eastAsia="en-US" w:bidi="ar-SA"/>
        </w:rPr>
        <w:t>：优先保障符合条件的重大重点项目资金需求，积极争取中央预算内资金、省基建资金等上级各类资金，抓住国家扩大新增地方政府专项债券发行规模机遇，积极争取专项债、企业债等资金。优先支持符合条件的项目争取列入省大中型建设项目、省重点建设项目和市重大重点项目、市重点推进项目计划，争取省、市层面要素资源。</w:t>
      </w:r>
    </w:p>
    <w:p w14:paraId="256E7D77">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四、工作机制</w:t>
      </w:r>
    </w:p>
    <w:p w14:paraId="76F2467B">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ascii="仿宋_GB2312" w:hAnsi="仿宋_GB2312" w:eastAsia="仿宋_GB2312" w:cs="楷体"/>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（一）强化党建引领，组建项目临时党支部</w:t>
      </w:r>
    </w:p>
    <w:p w14:paraId="31F74FA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为</w:t>
      </w:r>
      <w:r>
        <w:rPr>
          <w:rFonts w:hint="eastAsia" w:ascii="仿宋_GB2312" w:hAnsi="仿宋_GB2312" w:eastAsia="仿宋_GB2312" w:cs="仿宋_GB2312"/>
          <w:snapToGrid/>
          <w:color w:val="000000"/>
          <w:spacing w:val="0"/>
          <w:kern w:val="21"/>
          <w:sz w:val="32"/>
          <w:szCs w:val="31"/>
          <w:lang w:val="en-US" w:eastAsia="zh-CN" w:bidi="ar-SA"/>
        </w:rPr>
        <w:t>进一步</w:t>
      </w:r>
      <w:r>
        <w:rPr>
          <w:rFonts w:hint="eastAsia" w:ascii="仿宋_GB2312" w:hAnsi="仿宋_GB2312" w:eastAsia="仿宋_GB2312" w:cs="仿宋_GB2312"/>
          <w:snapToGrid/>
          <w:color w:val="000000"/>
          <w:spacing w:val="0"/>
          <w:kern w:val="21"/>
          <w:sz w:val="32"/>
          <w:szCs w:val="31"/>
          <w:lang w:val="en-US" w:eastAsia="en-US" w:bidi="ar-SA"/>
        </w:rPr>
        <w:t>强化党建引领，凝聚力量，</w:t>
      </w:r>
      <w:r>
        <w:rPr>
          <w:rFonts w:hint="eastAsia" w:ascii="仿宋_GB2312" w:hAnsi="仿宋_GB2312" w:eastAsia="仿宋_GB2312" w:cs="仿宋_GB2312"/>
          <w:snapToGrid/>
          <w:color w:val="000000"/>
          <w:spacing w:val="0"/>
          <w:kern w:val="21"/>
          <w:sz w:val="32"/>
          <w:szCs w:val="31"/>
          <w:lang w:val="en-US" w:eastAsia="zh-CN" w:bidi="ar-SA"/>
        </w:rPr>
        <w:t>继续</w:t>
      </w:r>
      <w:r>
        <w:rPr>
          <w:rFonts w:hint="eastAsia" w:ascii="仿宋_GB2312" w:hAnsi="仿宋_GB2312" w:eastAsia="仿宋_GB2312" w:cs="仿宋_GB2312"/>
          <w:snapToGrid/>
          <w:color w:val="000000"/>
          <w:spacing w:val="0"/>
          <w:kern w:val="21"/>
          <w:sz w:val="32"/>
          <w:szCs w:val="31"/>
          <w:lang w:val="en-US" w:eastAsia="en-US" w:bidi="ar-SA"/>
        </w:rPr>
        <w:t>推行每个项目“一个支部、一位领导、一套班子、一个方案、一抓到底”的“五个一”责任机制，每个重大重点项目临时党支部由该项目责任单位、建设单位、施工单位等相关负责人组成，让项目推进注入红色基因。做到项目推进到哪里、党的组织和党的工作就跟进到哪里，充分发挥战斗堡垒作用和党员先锋模范作用，推动项目早建成、早见效。</w:t>
      </w:r>
    </w:p>
    <w:p w14:paraId="068061A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华文楷体" w:hAnsi="华文楷体" w:eastAsia="华文楷体" w:cs="华文楷体"/>
          <w:b/>
          <w:bCs/>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（二）项目调度推进机制</w:t>
      </w:r>
    </w:p>
    <w:p w14:paraId="51998594">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一是县主要领导月调度。</w:t>
      </w:r>
      <w:r>
        <w:rPr>
          <w:rFonts w:hint="eastAsia" w:ascii="仿宋_GB2312" w:hAnsi="仿宋_GB2312" w:eastAsia="仿宋_GB2312" w:cs="仿宋_GB2312"/>
          <w:snapToGrid/>
          <w:color w:val="000000"/>
          <w:spacing w:val="0"/>
          <w:kern w:val="21"/>
          <w:sz w:val="32"/>
          <w:szCs w:val="31"/>
          <w:lang w:val="en-US" w:eastAsia="en-US" w:bidi="ar-SA"/>
        </w:rPr>
        <w:t>原则上县主要领导每</w:t>
      </w:r>
      <w:r>
        <w:rPr>
          <w:rFonts w:hint="eastAsia" w:ascii="仿宋_GB2312" w:hAnsi="仿宋_GB2312" w:eastAsia="仿宋_GB2312" w:cs="仿宋_GB2312"/>
          <w:snapToGrid/>
          <w:color w:val="000000"/>
          <w:spacing w:val="0"/>
          <w:kern w:val="21"/>
          <w:sz w:val="32"/>
          <w:szCs w:val="31"/>
          <w:lang w:val="en-US" w:eastAsia="zh-CN" w:bidi="ar-SA"/>
        </w:rPr>
        <w:t>两</w:t>
      </w:r>
      <w:r>
        <w:rPr>
          <w:rFonts w:hint="eastAsia" w:ascii="仿宋_GB2312" w:hAnsi="仿宋_GB2312" w:eastAsia="仿宋_GB2312" w:cs="仿宋_GB2312"/>
          <w:snapToGrid/>
          <w:color w:val="000000"/>
          <w:spacing w:val="0"/>
          <w:kern w:val="21"/>
          <w:sz w:val="32"/>
          <w:szCs w:val="31"/>
          <w:lang w:val="en-US" w:eastAsia="en-US" w:bidi="ar-SA"/>
        </w:rPr>
        <w:t>个月召开一次调度会，听取全县重大重点项目总体推进情况，会务工作分别由县委办、县政府办会同</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负责，会议材料由各项目负责县领导审定后报县</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汇总，再由常务副县长审核把关后，提交会议研究。议题涉及多个部门的，项目责任县领导须会前进行协调。</w:t>
      </w:r>
    </w:p>
    <w:p w14:paraId="47FD7C6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二是</w:t>
      </w:r>
      <w:r>
        <w:rPr>
          <w:rFonts w:hint="eastAsia" w:ascii="仿宋_GB2312" w:hAnsi="仿宋_GB2312" w:eastAsia="仿宋_GB2312" w:cs="仿宋_GB2312"/>
          <w:b/>
          <w:bCs/>
          <w:snapToGrid/>
          <w:color w:val="000000"/>
          <w:spacing w:val="0"/>
          <w:kern w:val="21"/>
          <w:sz w:val="32"/>
          <w:szCs w:val="31"/>
          <w:lang w:val="en-US" w:eastAsia="zh-CN" w:bidi="ar-SA"/>
        </w:rPr>
        <w:t>挂点</w:t>
      </w:r>
      <w:r>
        <w:rPr>
          <w:rFonts w:hint="eastAsia" w:ascii="仿宋_GB2312" w:hAnsi="仿宋_GB2312" w:eastAsia="仿宋_GB2312" w:cs="仿宋_GB2312"/>
          <w:b/>
          <w:bCs/>
          <w:snapToGrid/>
          <w:color w:val="000000"/>
          <w:spacing w:val="0"/>
          <w:kern w:val="21"/>
          <w:sz w:val="32"/>
          <w:szCs w:val="31"/>
          <w:lang w:val="en-US" w:eastAsia="en-US" w:bidi="ar-SA"/>
        </w:rPr>
        <w:t>领导旬调度</w:t>
      </w:r>
      <w:r>
        <w:rPr>
          <w:rFonts w:hint="eastAsia" w:ascii="仿宋_GB2312" w:hAnsi="仿宋_GB2312" w:eastAsia="仿宋_GB2312" w:cs="仿宋_GB2312"/>
          <w:snapToGrid/>
          <w:color w:val="000000"/>
          <w:spacing w:val="0"/>
          <w:kern w:val="21"/>
          <w:sz w:val="32"/>
          <w:szCs w:val="31"/>
          <w:lang w:val="en-US" w:eastAsia="en-US" w:bidi="ar-SA"/>
        </w:rPr>
        <w:t>。原则上</w:t>
      </w:r>
      <w:r>
        <w:rPr>
          <w:rFonts w:hint="eastAsia" w:ascii="仿宋_GB2312" w:hAnsi="仿宋_GB2312" w:eastAsia="仿宋_GB2312" w:cs="仿宋_GB2312"/>
          <w:snapToGrid/>
          <w:color w:val="000000"/>
          <w:spacing w:val="0"/>
          <w:kern w:val="21"/>
          <w:sz w:val="32"/>
          <w:szCs w:val="31"/>
          <w:lang w:val="en-US" w:eastAsia="zh-CN" w:bidi="ar-SA"/>
        </w:rPr>
        <w:t>项目挂点领导每</w:t>
      </w:r>
      <w:r>
        <w:rPr>
          <w:rFonts w:hint="eastAsia" w:ascii="仿宋_GB2312" w:hAnsi="仿宋_GB2312" w:eastAsia="仿宋_GB2312" w:cs="仿宋_GB2312"/>
          <w:snapToGrid/>
          <w:color w:val="000000"/>
          <w:spacing w:val="0"/>
          <w:kern w:val="21"/>
          <w:sz w:val="32"/>
          <w:szCs w:val="31"/>
          <w:lang w:val="en-US" w:eastAsia="en-US" w:bidi="ar-SA"/>
        </w:rPr>
        <w:t>半个月调度</w:t>
      </w:r>
      <w:r>
        <w:rPr>
          <w:rFonts w:hint="eastAsia" w:ascii="仿宋_GB2312" w:hAnsi="仿宋_GB2312" w:eastAsia="仿宋_GB2312" w:cs="仿宋_GB2312"/>
          <w:snapToGrid/>
          <w:color w:val="000000"/>
          <w:spacing w:val="0"/>
          <w:kern w:val="21"/>
          <w:sz w:val="32"/>
          <w:szCs w:val="31"/>
          <w:lang w:val="en-US" w:eastAsia="zh-CN" w:bidi="ar-SA"/>
        </w:rPr>
        <w:t>一次</w:t>
      </w:r>
      <w:r>
        <w:rPr>
          <w:rFonts w:hint="eastAsia" w:ascii="仿宋_GB2312" w:hAnsi="仿宋_GB2312" w:eastAsia="仿宋_GB2312" w:cs="仿宋_GB2312"/>
          <w:snapToGrid/>
          <w:color w:val="000000"/>
          <w:spacing w:val="0"/>
          <w:kern w:val="21"/>
          <w:sz w:val="32"/>
          <w:szCs w:val="31"/>
          <w:lang w:val="en-US" w:eastAsia="en-US" w:bidi="ar-SA"/>
        </w:rPr>
        <w:t>，协调解决各项目责任单位提交的问题，督办进度滞后的项目加快建设，部署下一阶段重要工作。会议召开前，由项目责任单位做好梳理、分析工作并收集整理会议材料。</w:t>
      </w:r>
    </w:p>
    <w:p w14:paraId="74A820B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b/>
          <w:bCs/>
          <w:snapToGrid/>
          <w:color w:val="000000"/>
          <w:spacing w:val="0"/>
          <w:kern w:val="21"/>
          <w:sz w:val="32"/>
          <w:szCs w:val="31"/>
          <w:lang w:val="en-US" w:eastAsia="en-US" w:bidi="ar-SA"/>
        </w:rPr>
        <w:t>三是对口领导分口调度。</w:t>
      </w:r>
      <w:r>
        <w:rPr>
          <w:rFonts w:hint="eastAsia" w:ascii="仿宋_GB2312" w:hAnsi="仿宋_GB2312" w:eastAsia="仿宋_GB2312" w:cs="仿宋_GB2312"/>
          <w:snapToGrid/>
          <w:color w:val="000000"/>
          <w:spacing w:val="0"/>
          <w:kern w:val="21"/>
          <w:sz w:val="32"/>
          <w:szCs w:val="31"/>
          <w:lang w:val="en-US" w:eastAsia="en-US" w:bidi="ar-SA"/>
        </w:rPr>
        <w:t>根据项目推进存在的困难问题所属的类别，由该类别分管县领导进行分口集中调度。常务副县长综合协调解决跨行业的重大问题，部署下一阶段重要工作</w:t>
      </w:r>
      <w:r>
        <w:rPr>
          <w:rFonts w:hint="eastAsia" w:ascii="仿宋_GB2312" w:hAnsi="仿宋_GB2312" w:eastAsia="仿宋_GB2312" w:cs="仿宋_GB2312"/>
          <w:snapToGrid/>
          <w:color w:val="000000"/>
          <w:spacing w:val="0"/>
          <w:kern w:val="21"/>
          <w:sz w:val="32"/>
          <w:szCs w:val="31"/>
          <w:lang w:val="en-US" w:eastAsia="zh-CN" w:bidi="ar-SA"/>
        </w:rPr>
        <w:t>。</w:t>
      </w:r>
    </w:p>
    <w:p w14:paraId="0B14D593">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四是项目责任单位周调度</w:t>
      </w:r>
      <w:r>
        <w:rPr>
          <w:rFonts w:hint="eastAsia" w:ascii="仿宋_GB2312" w:hAnsi="仿宋_GB2312" w:eastAsia="仿宋_GB2312" w:cs="仿宋_GB2312"/>
          <w:snapToGrid/>
          <w:color w:val="000000"/>
          <w:spacing w:val="0"/>
          <w:kern w:val="21"/>
          <w:sz w:val="32"/>
          <w:szCs w:val="31"/>
          <w:lang w:val="en-US" w:eastAsia="en-US" w:bidi="ar-SA"/>
        </w:rPr>
        <w:t>。项目责任单位要及时贯彻落实县级项目推进工作调度会确定的有关事项，安排布置下周、下月工作计划，协调解决项目推进中的困难问题及其他需协调事项。</w:t>
      </w:r>
    </w:p>
    <w:p w14:paraId="35D74830">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华文楷体" w:hAnsi="华文楷体" w:eastAsia="华文楷体" w:cs="华文楷体"/>
          <w:b/>
          <w:bCs/>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（三）项目管理机制</w:t>
      </w:r>
    </w:p>
    <w:p w14:paraId="58C1177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一是项目分类动态管理机制。</w:t>
      </w:r>
      <w:r>
        <w:rPr>
          <w:rFonts w:hint="eastAsia" w:ascii="仿宋_GB2312" w:hAnsi="仿宋_GB2312" w:eastAsia="仿宋_GB2312" w:cs="仿宋_GB2312"/>
          <w:snapToGrid/>
          <w:color w:val="000000"/>
          <w:spacing w:val="0"/>
          <w:kern w:val="21"/>
          <w:sz w:val="32"/>
          <w:szCs w:val="31"/>
          <w:lang w:val="en-US" w:eastAsia="en-US" w:bidi="ar-SA"/>
        </w:rPr>
        <w:t>根据项目推进实际情况，将全县重大重点项目分为</w:t>
      </w:r>
      <w:r>
        <w:rPr>
          <w:rFonts w:hint="eastAsia" w:ascii="仿宋_GB2312" w:hAnsi="仿宋_GB2312" w:eastAsia="仿宋_GB2312" w:cs="仿宋_GB2312"/>
          <w:snapToGrid/>
          <w:color w:val="000000"/>
          <w:spacing w:val="0"/>
          <w:kern w:val="21"/>
          <w:sz w:val="32"/>
          <w:szCs w:val="31"/>
          <w:lang w:val="en-US" w:eastAsia="zh-CN" w:bidi="ar-SA"/>
        </w:rPr>
        <w:t>2</w:t>
      </w:r>
      <w:r>
        <w:rPr>
          <w:rFonts w:hint="eastAsia" w:ascii="仿宋_GB2312" w:hAnsi="仿宋_GB2312" w:eastAsia="仿宋_GB2312" w:cs="仿宋_GB2312"/>
          <w:snapToGrid/>
          <w:color w:val="000000"/>
          <w:spacing w:val="0"/>
          <w:kern w:val="21"/>
          <w:sz w:val="32"/>
          <w:szCs w:val="31"/>
          <w:lang w:val="en-US" w:eastAsia="en-US" w:bidi="ar-SA"/>
        </w:rPr>
        <w:t>类进行动态管理：①条件比较成熟的为重点推进的项目（A类）；②要素有所欠缺，正在积极完善的为前期谋划项目（B类）。对于A类项目，</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将予以重点推进，实事求是，以最真实的推进进度情况呈现给县领导决策；对于B类项目，</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将及时跟进，及时调整项目类别，做到成熟一个就纳入一个到重点推进范畴。</w:t>
      </w:r>
    </w:p>
    <w:p w14:paraId="5C6A848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b/>
          <w:bCs/>
          <w:snapToGrid/>
          <w:color w:val="000000"/>
          <w:spacing w:val="0"/>
          <w:kern w:val="21"/>
          <w:sz w:val="32"/>
          <w:szCs w:val="31"/>
          <w:lang w:val="en-US" w:eastAsia="en-US" w:bidi="ar-SA"/>
        </w:rPr>
        <w:t>二是项目资源约束机制。</w:t>
      </w:r>
      <w:r>
        <w:rPr>
          <w:rFonts w:hint="eastAsia" w:ascii="仿宋_GB2312" w:hAnsi="仿宋_GB2312" w:eastAsia="仿宋_GB2312" w:cs="仿宋_GB2312"/>
          <w:snapToGrid/>
          <w:color w:val="000000"/>
          <w:spacing w:val="0"/>
          <w:kern w:val="21"/>
          <w:sz w:val="32"/>
          <w:szCs w:val="31"/>
          <w:lang w:val="en-US" w:eastAsia="en-US" w:bidi="ar-SA"/>
        </w:rPr>
        <w:t>对由于各种原因三个月以上不能如期开工或开工后进展迟缓的新开工项目以及投资完成和形象进度严重滞后于时间节点计划的续建项目，经请示县主要领导同意，退出重大重点项目，收回已配置的要素资源，且在年度高质量发展目标管理考核时，扣除牵头责任单位一定分值。原则上已列入省、市重大项目的不得调整。</w:t>
      </w:r>
    </w:p>
    <w:p w14:paraId="30FD531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ascii="仿宋_GB2312" w:hAnsi="仿宋_GB2312" w:eastAsia="仿宋_GB2312" w:cs="楷体"/>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（四）项目督查落实机制</w:t>
      </w:r>
    </w:p>
    <w:p w14:paraId="2351EED9">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由</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牵头，联合县委、县政府督查室组成项目推进工作督查组，不定期对项目推进情况、交办工作落实情况、责任单位工作情况及职能部门工作落实情况等进行督查督办，督查</w:t>
      </w:r>
      <w:r>
        <w:rPr>
          <w:rFonts w:hint="eastAsia" w:ascii="仿宋_GB2312" w:hAnsi="仿宋_GB2312" w:eastAsia="仿宋_GB2312" w:cs="仿宋_GB2312"/>
          <w:snapToGrid/>
          <w:color w:val="000000"/>
          <w:spacing w:val="0"/>
          <w:kern w:val="21"/>
          <w:sz w:val="32"/>
          <w:szCs w:val="31"/>
          <w:lang w:val="en-US" w:eastAsia="zh-CN" w:bidi="ar-SA"/>
        </w:rPr>
        <w:t>工作</w:t>
      </w:r>
      <w:r>
        <w:rPr>
          <w:rFonts w:hint="eastAsia" w:ascii="仿宋_GB2312" w:hAnsi="仿宋_GB2312" w:eastAsia="仿宋_GB2312" w:cs="仿宋_GB2312"/>
          <w:snapToGrid/>
          <w:color w:val="000000"/>
          <w:spacing w:val="0"/>
          <w:kern w:val="21"/>
          <w:sz w:val="32"/>
          <w:szCs w:val="31"/>
          <w:lang w:val="en-US" w:eastAsia="en-US" w:bidi="ar-SA"/>
        </w:rPr>
        <w:t>按照《进贤县202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重大重点项目督查工作机制》（见附件1）</w:t>
      </w:r>
      <w:r>
        <w:rPr>
          <w:rFonts w:hint="eastAsia" w:ascii="仿宋_GB2312" w:hAnsi="仿宋_GB2312" w:eastAsia="仿宋_GB2312" w:cs="仿宋_GB2312"/>
          <w:snapToGrid/>
          <w:color w:val="000000"/>
          <w:spacing w:val="0"/>
          <w:kern w:val="21"/>
          <w:sz w:val="32"/>
          <w:szCs w:val="31"/>
          <w:lang w:val="en-US" w:eastAsia="zh-CN" w:bidi="ar-SA"/>
        </w:rPr>
        <w:t>实施</w:t>
      </w:r>
      <w:r>
        <w:rPr>
          <w:rFonts w:hint="eastAsia" w:ascii="仿宋_GB2312" w:hAnsi="仿宋_GB2312" w:eastAsia="仿宋_GB2312" w:cs="仿宋_GB2312"/>
          <w:snapToGrid/>
          <w:color w:val="000000"/>
          <w:spacing w:val="0"/>
          <w:kern w:val="21"/>
          <w:sz w:val="32"/>
          <w:szCs w:val="31"/>
          <w:lang w:val="en-US" w:eastAsia="en-US" w:bidi="ar-SA"/>
        </w:rPr>
        <w:t>，并视情况移送线索至县纪委监委，同时形成专报呈报相关县领导。</w:t>
      </w:r>
    </w:p>
    <w:p w14:paraId="6ECD4CF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华文楷体" w:hAnsi="华文楷体" w:eastAsia="华文楷体" w:cs="华文楷体"/>
          <w:b/>
          <w:bCs/>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（五）巡查评比推进机制</w:t>
      </w:r>
    </w:p>
    <w:p w14:paraId="53BB497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原则上每个季度组织一次</w:t>
      </w:r>
      <w:r>
        <w:rPr>
          <w:rFonts w:hint="eastAsia" w:ascii="仿宋_GB2312" w:hAnsi="仿宋_GB2312" w:eastAsia="仿宋_GB2312" w:cs="仿宋_GB2312"/>
          <w:snapToGrid/>
          <w:color w:val="000000"/>
          <w:spacing w:val="0"/>
          <w:kern w:val="21"/>
          <w:sz w:val="32"/>
          <w:szCs w:val="31"/>
          <w:lang w:val="en-US" w:eastAsia="zh-CN" w:bidi="ar-SA"/>
        </w:rPr>
        <w:t>全县</w:t>
      </w:r>
      <w:r>
        <w:rPr>
          <w:rFonts w:hint="eastAsia" w:ascii="仿宋_GB2312" w:hAnsi="仿宋_GB2312" w:eastAsia="仿宋_GB2312" w:cs="仿宋_GB2312"/>
          <w:snapToGrid/>
          <w:color w:val="000000"/>
          <w:spacing w:val="0"/>
          <w:kern w:val="21"/>
          <w:sz w:val="32"/>
          <w:szCs w:val="31"/>
          <w:lang w:val="en-US" w:eastAsia="en-US" w:bidi="ar-SA"/>
        </w:rPr>
        <w:t>重大重点项目现场巡查评比活动，活动由项目</w:t>
      </w:r>
      <w:r>
        <w:rPr>
          <w:rFonts w:hint="eastAsia" w:ascii="仿宋_GB2312" w:hAnsi="仿宋_GB2312" w:eastAsia="仿宋_GB2312" w:cs="仿宋_GB2312"/>
          <w:snapToGrid/>
          <w:color w:val="000000"/>
          <w:spacing w:val="0"/>
          <w:kern w:val="21"/>
          <w:sz w:val="32"/>
          <w:szCs w:val="31"/>
          <w:lang w:val="en-US" w:eastAsia="zh-CN" w:bidi="ar-SA"/>
        </w:rPr>
        <w:t>联席办</w:t>
      </w:r>
      <w:r>
        <w:rPr>
          <w:rFonts w:hint="eastAsia" w:ascii="仿宋_GB2312" w:hAnsi="仿宋_GB2312" w:eastAsia="仿宋_GB2312" w:cs="仿宋_GB2312"/>
          <w:snapToGrid/>
          <w:color w:val="000000"/>
          <w:spacing w:val="0"/>
          <w:kern w:val="21"/>
          <w:sz w:val="32"/>
          <w:szCs w:val="31"/>
          <w:lang w:val="en-US" w:eastAsia="en-US" w:bidi="ar-SA"/>
        </w:rPr>
        <w:t>牵头组织，采取现场察看、听取汇报及召开总结会的方式进行，重点了解开工项目进度目标完成情况及项目建设遇到的困难和问题，侧重巡查未开工项目前期手续办理情况、项目要素保障情况、计划开工时间以及需要协调解决的问题等。评比结果作为各乡镇及相关单位选人用人、年度考核的主要依据。</w:t>
      </w:r>
    </w:p>
    <w:p w14:paraId="3991FF11">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五、工作要求</w:t>
      </w:r>
    </w:p>
    <w:p w14:paraId="5CC90A4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（一）强化责任夯实。</w:t>
      </w:r>
      <w:r>
        <w:rPr>
          <w:rFonts w:ascii="仿宋_GB2312" w:hAnsi="仿宋_GB2312" w:eastAsia="仿宋_GB2312" w:cs="FangSong_GB2312"/>
          <w:snapToGrid/>
          <w:color w:val="000000"/>
          <w:spacing w:val="0"/>
          <w:kern w:val="21"/>
          <w:sz w:val="32"/>
          <w:szCs w:val="31"/>
          <w:lang w:val="en-US" w:eastAsia="en-US" w:bidi="ar-SA"/>
        </w:rPr>
        <w:t>各</w:t>
      </w:r>
      <w:r>
        <w:rPr>
          <w:rFonts w:hint="eastAsia" w:ascii="仿宋_GB2312" w:hAnsi="仿宋_GB2312" w:eastAsia="仿宋_GB2312" w:cs="仿宋_GB2312"/>
          <w:snapToGrid/>
          <w:color w:val="000000"/>
          <w:spacing w:val="0"/>
          <w:kern w:val="21"/>
          <w:sz w:val="32"/>
          <w:szCs w:val="31"/>
          <w:lang w:val="en-US" w:eastAsia="en-US" w:bidi="ar-SA"/>
        </w:rPr>
        <w:t>乡镇、各项目责任单位及服务保障单位主要领导要落实项目推进第一责任人职责，分管领导要落实项目的具体责任人职责，层层压实责任，实行链条管理(审批事项推进链条、涉及征地拆迁推进链条、项目建设阶段推进链条等)，将各项目工作任务量化到每月、每周，实行挂图作战，细化工作措施，加大推进力度，确保重大重点项目建设有力有序推进。</w:t>
      </w:r>
    </w:p>
    <w:p w14:paraId="7D634E44">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（二）强化督查考核。</w:t>
      </w:r>
      <w:r>
        <w:rPr>
          <w:rFonts w:hint="eastAsia" w:ascii="仿宋_GB2312" w:hAnsi="仿宋_GB2312" w:eastAsia="仿宋_GB2312" w:cs="仿宋_GB2312"/>
          <w:snapToGrid/>
          <w:color w:val="000000"/>
          <w:spacing w:val="0"/>
          <w:kern w:val="21"/>
          <w:sz w:val="32"/>
          <w:szCs w:val="31"/>
          <w:lang w:val="en-US" w:eastAsia="en-US" w:bidi="ar-SA"/>
        </w:rPr>
        <w:t>完善《进贤县202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年重大重点项目督查工作机制》（附件1），加大对全县重大重点项目督查力度、督查频率</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要牵头会同县委、县政府督查室对项目建设进行全过程监督，县纪委监委要对工作不力、不担当、不作为、慢作为、乱作为等失职失责行为进行问责处理。</w:t>
      </w:r>
    </w:p>
    <w:p w14:paraId="3F2371D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（三）强化结果运用。</w:t>
      </w:r>
      <w:r>
        <w:rPr>
          <w:rFonts w:hint="eastAsia" w:ascii="仿宋_GB2312" w:hAnsi="仿宋_GB2312" w:eastAsia="仿宋_GB2312" w:cs="仿宋_GB2312"/>
          <w:snapToGrid/>
          <w:color w:val="000000"/>
          <w:spacing w:val="0"/>
          <w:kern w:val="21"/>
          <w:sz w:val="32"/>
          <w:szCs w:val="31"/>
          <w:lang w:val="en-US" w:eastAsia="en-US" w:bidi="ar-SA"/>
        </w:rPr>
        <w:t>重大重点项目巡</w:t>
      </w:r>
      <w:r>
        <w:rPr>
          <w:rFonts w:hint="eastAsia" w:ascii="仿宋_GB2312" w:hAnsi="仿宋_GB2312" w:eastAsia="仿宋_GB2312" w:cs="仿宋_GB2312"/>
          <w:snapToGrid/>
          <w:color w:val="000000"/>
          <w:spacing w:val="0"/>
          <w:kern w:val="21"/>
          <w:sz w:val="32"/>
          <w:szCs w:val="31"/>
          <w:lang w:val="en-US" w:eastAsia="zh-CN" w:bidi="ar-SA"/>
        </w:rPr>
        <w:t>看</w:t>
      </w:r>
      <w:r>
        <w:rPr>
          <w:rFonts w:hint="eastAsia" w:ascii="仿宋_GB2312" w:hAnsi="仿宋_GB2312" w:eastAsia="仿宋_GB2312" w:cs="仿宋_GB2312"/>
          <w:snapToGrid/>
          <w:color w:val="000000"/>
          <w:spacing w:val="0"/>
          <w:kern w:val="21"/>
          <w:sz w:val="32"/>
          <w:szCs w:val="31"/>
          <w:lang w:val="en-US" w:eastAsia="en-US" w:bidi="ar-SA"/>
        </w:rPr>
        <w:t>活动和督查考核结果，纳入年度</w:t>
      </w:r>
      <w:r>
        <w:rPr>
          <w:rFonts w:hint="eastAsia" w:ascii="仿宋_GB2312" w:hAnsi="仿宋_GB2312" w:eastAsia="仿宋_GB2312" w:cs="仿宋_GB2312"/>
          <w:snapToGrid/>
          <w:color w:val="000000"/>
          <w:spacing w:val="0"/>
          <w:kern w:val="21"/>
          <w:sz w:val="32"/>
          <w:szCs w:val="31"/>
          <w:lang w:val="en-US" w:eastAsia="zh-CN" w:bidi="ar-SA"/>
        </w:rPr>
        <w:t>综合</w:t>
      </w:r>
      <w:r>
        <w:rPr>
          <w:rFonts w:hint="eastAsia" w:ascii="仿宋_GB2312" w:hAnsi="仿宋_GB2312" w:eastAsia="仿宋_GB2312" w:cs="仿宋_GB2312"/>
          <w:snapToGrid/>
          <w:color w:val="000000"/>
          <w:spacing w:val="0"/>
          <w:kern w:val="21"/>
          <w:sz w:val="32"/>
          <w:szCs w:val="31"/>
          <w:lang w:val="en-US" w:eastAsia="en-US" w:bidi="ar-SA"/>
        </w:rPr>
        <w:t>考核</w:t>
      </w:r>
      <w:r>
        <w:rPr>
          <w:rFonts w:hint="eastAsia" w:ascii="仿宋_GB2312" w:hAnsi="仿宋_GB2312" w:eastAsia="仿宋_GB2312" w:cs="仿宋_GB2312"/>
          <w:snapToGrid/>
          <w:color w:val="000000"/>
          <w:spacing w:val="0"/>
          <w:kern w:val="21"/>
          <w:sz w:val="32"/>
          <w:szCs w:val="31"/>
          <w:lang w:val="en-US" w:eastAsia="zh-CN" w:bidi="ar-SA"/>
        </w:rPr>
        <w:t>范畴</w:t>
      </w:r>
      <w:r>
        <w:rPr>
          <w:rFonts w:hint="eastAsia" w:ascii="仿宋_GB2312" w:hAnsi="仿宋_GB2312" w:eastAsia="仿宋_GB2312" w:cs="仿宋_GB2312"/>
          <w:snapToGrid/>
          <w:color w:val="000000"/>
          <w:spacing w:val="0"/>
          <w:kern w:val="21"/>
          <w:sz w:val="32"/>
          <w:szCs w:val="31"/>
          <w:lang w:val="en-US" w:eastAsia="en-US" w:bidi="ar-SA"/>
        </w:rPr>
        <w:t>。对项目工作推进较快、完成较好的单位及相关责任人，予以通报表扬，并在年终考评和各类评先评优中优先考虑；同时运用及时奖励政策，对重大重点项目建设成绩突出的单位和个人，按规定报请省、市、县政府予以及时奖励。对于督查发现问题多、整改措施落实不到位的，取消当年评先评优资格，并扣除年度考核所涉单位相应分值。对于因个人原因造成重点项目和重点工作目标任务未完成的，对相关责任人进行严肃批评，并视情作出相应处理。</w:t>
      </w:r>
    </w:p>
    <w:p w14:paraId="2146B1AB">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（四）强化宣传报道。</w:t>
      </w:r>
      <w:r>
        <w:rPr>
          <w:rFonts w:hint="eastAsia" w:ascii="仿宋_GB2312" w:hAnsi="仿宋_GB2312" w:eastAsia="仿宋_GB2312" w:cs="仿宋_GB2312"/>
          <w:snapToGrid/>
          <w:color w:val="000000"/>
          <w:spacing w:val="0"/>
          <w:kern w:val="21"/>
          <w:sz w:val="32"/>
          <w:szCs w:val="31"/>
          <w:lang w:val="en-US" w:eastAsia="en-US" w:bidi="ar-SA"/>
        </w:rPr>
        <w:t>充分利用电视、广播、网络等媒介，多角度、多形式宣传报道重大重点项目进展情况，宣传先进典型，曝光</w:t>
      </w:r>
      <w:r>
        <w:rPr>
          <w:rFonts w:hint="eastAsia" w:ascii="仿宋_GB2312" w:hAnsi="仿宋_GB2312" w:eastAsia="仿宋_GB2312" w:cs="仿宋_GB2312"/>
          <w:snapToGrid/>
          <w:color w:val="000000"/>
          <w:spacing w:val="0"/>
          <w:kern w:val="21"/>
          <w:sz w:val="32"/>
          <w:szCs w:val="31"/>
          <w:lang w:val="en-US" w:eastAsia="zh-CN" w:bidi="ar-SA"/>
        </w:rPr>
        <w:t>营商</w:t>
      </w:r>
      <w:r>
        <w:rPr>
          <w:rFonts w:hint="eastAsia" w:ascii="仿宋_GB2312" w:hAnsi="仿宋_GB2312" w:eastAsia="仿宋_GB2312" w:cs="仿宋_GB2312"/>
          <w:snapToGrid/>
          <w:color w:val="000000"/>
          <w:spacing w:val="0"/>
          <w:kern w:val="21"/>
          <w:sz w:val="32"/>
          <w:szCs w:val="31"/>
          <w:lang w:val="en-US" w:eastAsia="en-US" w:bidi="ar-SA"/>
        </w:rPr>
        <w:t>环境不优、</w:t>
      </w:r>
      <w:r>
        <w:rPr>
          <w:rFonts w:hint="eastAsia" w:ascii="仿宋_GB2312" w:hAnsi="仿宋_GB2312" w:eastAsia="仿宋_GB2312" w:cs="仿宋_GB2312"/>
          <w:snapToGrid/>
          <w:color w:val="000000"/>
          <w:spacing w:val="0"/>
          <w:kern w:val="21"/>
          <w:sz w:val="32"/>
          <w:szCs w:val="31"/>
          <w:lang w:val="en-US" w:eastAsia="zh-CN" w:bidi="ar-SA"/>
        </w:rPr>
        <w:t>项目</w:t>
      </w:r>
      <w:r>
        <w:rPr>
          <w:rFonts w:hint="eastAsia" w:ascii="仿宋_GB2312" w:hAnsi="仿宋_GB2312" w:eastAsia="仿宋_GB2312" w:cs="仿宋_GB2312"/>
          <w:snapToGrid/>
          <w:color w:val="000000"/>
          <w:spacing w:val="0"/>
          <w:kern w:val="21"/>
          <w:sz w:val="32"/>
          <w:szCs w:val="31"/>
          <w:lang w:val="en-US" w:eastAsia="en-US" w:bidi="ar-SA"/>
        </w:rPr>
        <w:t>服务不到位的问题，形成良好的舆论氛围。</w:t>
      </w:r>
    </w:p>
    <w:p w14:paraId="10E78DDF">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附件：1.进贤县202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年重大重点项目督查工作机制</w:t>
      </w:r>
    </w:p>
    <w:p w14:paraId="192AC9A9">
      <w:pPr>
        <w:keepNext w:val="0"/>
        <w:keepLines w:val="0"/>
        <w:pageBreakBefore w:val="0"/>
        <w:widowControl w:val="0"/>
        <w:kinsoku/>
        <w:wordWrap w:val="0"/>
        <w:overflowPunct/>
        <w:topLinePunct/>
        <w:autoSpaceDE/>
        <w:autoSpaceDN/>
        <w:bidi w:val="0"/>
        <w:adjustRightInd/>
        <w:snapToGrid/>
        <w:spacing w:line="600" w:lineRule="exact"/>
        <w:ind w:left="0" w:leftChars="0" w:right="0" w:firstLine="1600" w:firstLineChars="5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zh-CN" w:bidi="ar-SA"/>
        </w:rPr>
        <w:t>2.</w:t>
      </w:r>
      <w:r>
        <w:rPr>
          <w:rFonts w:hint="eastAsia" w:ascii="仿宋_GB2312" w:hAnsi="仿宋_GB2312" w:eastAsia="仿宋_GB2312" w:cs="仿宋_GB2312"/>
          <w:snapToGrid/>
          <w:color w:val="000000"/>
          <w:spacing w:val="0"/>
          <w:kern w:val="21"/>
          <w:sz w:val="32"/>
          <w:szCs w:val="31"/>
          <w:lang w:val="en-US" w:eastAsia="en-US" w:bidi="ar-SA"/>
        </w:rPr>
        <w:t>进贤县202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年重大重点项目投资计划表</w:t>
      </w:r>
    </w:p>
    <w:p w14:paraId="0BACE59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rPr>
        <w:sectPr>
          <w:footerReference r:id="rId5" w:type="default"/>
          <w:pgSz w:w="11910" w:h="16850"/>
          <w:pgMar w:top="1587" w:right="1417" w:bottom="1587" w:left="1417" w:header="0" w:footer="1077" w:gutter="0"/>
          <w:pgNumType w:fmt="decimal" w:start="1"/>
          <w:cols w:space="720" w:num="1"/>
        </w:sectPr>
      </w:pPr>
    </w:p>
    <w:p w14:paraId="1CF8617C">
      <w:pPr>
        <w:keepNext w:val="0"/>
        <w:keepLines w:val="0"/>
        <w:pageBreakBefore w:val="0"/>
        <w:widowControl w:val="0"/>
        <w:kinsoku/>
        <w:wordWrap w:val="0"/>
        <w:overflowPunct/>
        <w:topLinePunct/>
        <w:autoSpaceDE/>
        <w:autoSpaceDN/>
        <w:bidi w:val="0"/>
        <w:adjustRightInd/>
        <w:snapToGrid/>
        <w:spacing w:line="600" w:lineRule="exact"/>
        <w:ind w:right="0"/>
        <w:jc w:val="left"/>
        <w:textAlignment w:val="baseline"/>
        <w:rPr>
          <w:rFonts w:hint="default" w:ascii="黑体" w:hAnsi="黑体" w:eastAsia="黑体" w:cs="黑体"/>
          <w:snapToGrid/>
          <w:color w:val="000000"/>
          <w:spacing w:val="0"/>
          <w:kern w:val="21"/>
          <w:sz w:val="32"/>
          <w:szCs w:val="31"/>
          <w:lang w:val="en-US" w:eastAsia="zh-CN"/>
        </w:rPr>
      </w:pPr>
      <w:r>
        <w:rPr>
          <w:rFonts w:hint="eastAsia" w:ascii="黑体" w:hAnsi="黑体" w:eastAsia="黑体" w:cs="黑体"/>
          <w:snapToGrid/>
          <w:color w:val="000000"/>
          <w:spacing w:val="0"/>
          <w:kern w:val="21"/>
          <w:sz w:val="32"/>
          <w:szCs w:val="31"/>
          <w:lang w:eastAsia="en-US"/>
        </w:rPr>
        <w:t>附件1</w:t>
      </w:r>
    </w:p>
    <w:p w14:paraId="70F3E06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ascii="仿宋_GB2312" w:hAnsi="仿宋_GB2312" w:eastAsia="仿宋_GB2312" w:cs="黑体"/>
          <w:snapToGrid/>
          <w:color w:val="000000"/>
          <w:spacing w:val="0"/>
          <w:kern w:val="21"/>
          <w:sz w:val="32"/>
          <w:szCs w:val="31"/>
          <w:lang w:eastAsia="en-US"/>
        </w:rPr>
      </w:pPr>
    </w:p>
    <w:p w14:paraId="5065E846">
      <w:pPr>
        <w:keepNext w:val="0"/>
        <w:keepLines w:val="0"/>
        <w:pageBreakBefore w:val="0"/>
        <w:widowControl w:val="0"/>
        <w:kinsoku/>
        <w:wordWrap w:val="0"/>
        <w:overflowPunct/>
        <w:topLinePunct/>
        <w:autoSpaceDE/>
        <w:autoSpaceDN/>
        <w:bidi w:val="0"/>
        <w:adjustRightInd/>
        <w:snapToGrid/>
        <w:spacing w:line="600" w:lineRule="exact"/>
        <w:ind w:right="0"/>
        <w:jc w:val="center"/>
        <w:textAlignment w:val="baseline"/>
        <w:rPr>
          <w:rFonts w:hint="eastAsia" w:ascii="方正小标宋简体" w:hAnsi="方正小标宋简体" w:eastAsia="方正小标宋简体" w:cs="方正小标宋简体"/>
          <w:snapToGrid/>
          <w:color w:val="000000"/>
          <w:spacing w:val="0"/>
          <w:kern w:val="21"/>
          <w:sz w:val="44"/>
          <w:szCs w:val="44"/>
          <w:lang w:eastAsia="en-US"/>
        </w:rPr>
      </w:pPr>
      <w:r>
        <w:rPr>
          <w:rFonts w:hint="eastAsia" w:ascii="方正小标宋简体" w:hAnsi="方正小标宋简体" w:eastAsia="方正小标宋简体" w:cs="方正小标宋简体"/>
          <w:snapToGrid/>
          <w:color w:val="000000"/>
          <w:spacing w:val="0"/>
          <w:kern w:val="21"/>
          <w:sz w:val="44"/>
          <w:szCs w:val="44"/>
          <w:lang w:eastAsia="en-US"/>
        </w:rPr>
        <w:t>进贤县202</w:t>
      </w:r>
      <w:r>
        <w:rPr>
          <w:rFonts w:hint="eastAsia" w:ascii="方正小标宋简体" w:hAnsi="方正小标宋简体" w:eastAsia="方正小标宋简体" w:cs="方正小标宋简体"/>
          <w:snapToGrid/>
          <w:color w:val="000000"/>
          <w:spacing w:val="0"/>
          <w:kern w:val="21"/>
          <w:sz w:val="44"/>
          <w:szCs w:val="44"/>
          <w:lang w:val="en-US" w:eastAsia="zh-CN"/>
        </w:rPr>
        <w:t>5</w:t>
      </w:r>
      <w:r>
        <w:rPr>
          <w:rFonts w:hint="eastAsia" w:ascii="方正小标宋简体" w:hAnsi="方正小标宋简体" w:eastAsia="方正小标宋简体" w:cs="方正小标宋简体"/>
          <w:snapToGrid/>
          <w:color w:val="000000"/>
          <w:spacing w:val="0"/>
          <w:kern w:val="21"/>
          <w:sz w:val="44"/>
          <w:szCs w:val="44"/>
          <w:lang w:eastAsia="en-US"/>
        </w:rPr>
        <w:t>年重大重点项目督查工作机制</w:t>
      </w:r>
    </w:p>
    <w:p w14:paraId="1091D465">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ascii="仿宋_GB2312" w:hAnsi="仿宋_GB2312" w:eastAsia="仿宋_GB2312" w:cs="方正小标宋简体"/>
          <w:snapToGrid/>
          <w:color w:val="000000"/>
          <w:spacing w:val="0"/>
          <w:kern w:val="21"/>
          <w:sz w:val="32"/>
          <w:szCs w:val="43"/>
          <w:lang w:eastAsia="en-US"/>
        </w:rPr>
      </w:pPr>
    </w:p>
    <w:p w14:paraId="7EFB3F98">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为</w:t>
      </w:r>
      <w:r>
        <w:rPr>
          <w:rFonts w:hint="eastAsia" w:ascii="仿宋_GB2312" w:hAnsi="仿宋_GB2312" w:eastAsia="仿宋_GB2312" w:cs="仿宋_GB2312"/>
          <w:snapToGrid/>
          <w:color w:val="000000"/>
          <w:spacing w:val="0"/>
          <w:kern w:val="21"/>
          <w:sz w:val="32"/>
          <w:szCs w:val="31"/>
          <w:lang w:val="en-US" w:eastAsia="zh-CN" w:bidi="ar-SA"/>
        </w:rPr>
        <w:t>深入实施</w:t>
      </w:r>
      <w:r>
        <w:rPr>
          <w:rFonts w:hint="eastAsia" w:ascii="仿宋_GB2312" w:hAnsi="仿宋_GB2312" w:eastAsia="仿宋_GB2312" w:cs="仿宋_GB2312"/>
          <w:snapToGrid/>
          <w:color w:val="000000"/>
          <w:spacing w:val="0"/>
          <w:kern w:val="21"/>
          <w:sz w:val="32"/>
          <w:szCs w:val="31"/>
          <w:lang w:val="en-US" w:eastAsia="en-US" w:bidi="ar-SA"/>
        </w:rPr>
        <w:t>“项目带动”战略，确保县委、县政府决策部署政令畅通，保障全县重大重点项目高效推进，促进重大重点项目早落户、早开工、早投产、早见效，圆满完成年度目标任务，特制定本督查工作机制。</w:t>
      </w:r>
    </w:p>
    <w:p w14:paraId="5127EA0F">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一、督查内容</w:t>
      </w:r>
    </w:p>
    <w:p w14:paraId="2F417403">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1.重点督查《进贤县202</w:t>
      </w:r>
      <w:r>
        <w:rPr>
          <w:rFonts w:hint="eastAsia" w:ascii="仿宋_GB2312" w:hAnsi="仿宋_GB2312" w:eastAsia="仿宋_GB2312" w:cs="仿宋_GB2312"/>
          <w:snapToGrid/>
          <w:color w:val="000000"/>
          <w:spacing w:val="0"/>
          <w:kern w:val="21"/>
          <w:sz w:val="32"/>
          <w:szCs w:val="31"/>
          <w:lang w:val="en-US" w:eastAsia="zh-CN" w:bidi="ar-SA"/>
        </w:rPr>
        <w:t>5</w:t>
      </w:r>
      <w:r>
        <w:rPr>
          <w:rFonts w:hint="eastAsia" w:ascii="仿宋_GB2312" w:hAnsi="仿宋_GB2312" w:eastAsia="仿宋_GB2312" w:cs="仿宋_GB2312"/>
          <w:snapToGrid/>
          <w:color w:val="000000"/>
          <w:spacing w:val="0"/>
          <w:kern w:val="21"/>
          <w:sz w:val="32"/>
          <w:szCs w:val="31"/>
          <w:lang w:val="en-US" w:eastAsia="en-US" w:bidi="ar-SA"/>
        </w:rPr>
        <w:t>年重大重点项目投资计划表》（附件</w:t>
      </w:r>
      <w:r>
        <w:rPr>
          <w:rFonts w:hint="eastAsia" w:ascii="仿宋_GB2312" w:hAnsi="仿宋_GB2312" w:eastAsia="仿宋_GB2312" w:cs="仿宋_GB2312"/>
          <w:snapToGrid/>
          <w:color w:val="000000"/>
          <w:spacing w:val="0"/>
          <w:kern w:val="21"/>
          <w:sz w:val="32"/>
          <w:szCs w:val="31"/>
          <w:lang w:val="en-US" w:eastAsia="zh-CN" w:bidi="ar-SA"/>
        </w:rPr>
        <w:t>2</w:t>
      </w:r>
      <w:r>
        <w:rPr>
          <w:rFonts w:hint="eastAsia" w:ascii="仿宋_GB2312" w:hAnsi="仿宋_GB2312" w:eastAsia="仿宋_GB2312" w:cs="仿宋_GB2312"/>
          <w:snapToGrid/>
          <w:color w:val="000000"/>
          <w:spacing w:val="0"/>
          <w:kern w:val="21"/>
          <w:sz w:val="32"/>
          <w:szCs w:val="31"/>
          <w:lang w:val="en-US" w:eastAsia="en-US" w:bidi="ar-SA"/>
        </w:rPr>
        <w:t>）中所有项目的推进计划落实情况。是否落实联系领导；是否对照倒排工期按计划完成工作进度、投资进度、建设进度；是否对融合对接项目政策性金融服务支持、用地指标、征地拆迁等工作；相关部门是否协同推进项目建设，部门之间是否存在推诿扯皮，慢落实、不落实现象；对项目建设过程中遇到的困难和问题，是否及时研究并加以解决。</w:t>
      </w:r>
    </w:p>
    <w:p w14:paraId="3348FC6E">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2.根据每月责任单位报告情况和项目建设进展情况，对项目建设推进不力、难度较大、薄弱环节、开工竣工等重要环节关键节点针对性实施专项督查、重点督查。</w:t>
      </w:r>
    </w:p>
    <w:p w14:paraId="44BCF7C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en-US" w:bidi="ar-SA"/>
        </w:rPr>
        <w:t>3.县领导对有关重大重点项目调度、指示、批示事项的推进落</w:t>
      </w:r>
      <w:r>
        <w:rPr>
          <w:rFonts w:hint="eastAsia" w:ascii="仿宋_GB2312" w:hAnsi="仿宋_GB2312" w:eastAsia="仿宋_GB2312" w:cs="仿宋_GB2312"/>
          <w:snapToGrid/>
          <w:color w:val="000000"/>
          <w:spacing w:val="0"/>
          <w:kern w:val="21"/>
          <w:sz w:val="32"/>
          <w:szCs w:val="31"/>
          <w:lang w:val="en-US" w:eastAsia="zh-CN" w:bidi="ar-SA"/>
        </w:rPr>
        <w:t>实情况。</w:t>
      </w:r>
    </w:p>
    <w:p w14:paraId="5BCEC43B">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仿宋_GB2312" w:hAnsi="仿宋_GB2312" w:eastAsia="仿宋_GB2312" w:cs="仿宋_GB2312"/>
          <w:snapToGrid/>
          <w:color w:val="000000"/>
          <w:spacing w:val="0"/>
          <w:kern w:val="21"/>
          <w:sz w:val="32"/>
          <w:szCs w:val="31"/>
          <w:lang w:val="en-US" w:eastAsia="zh-CN" w:bidi="ar-SA"/>
        </w:rPr>
        <w:t>4.其他需要督查事项的落实情况。</w:t>
      </w:r>
    </w:p>
    <w:p w14:paraId="283DFC1F">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val="en-US" w:eastAsia="zh-CN"/>
        </w:rPr>
      </w:pPr>
      <w:r>
        <w:rPr>
          <w:rFonts w:hint="eastAsia" w:ascii="黑体" w:hAnsi="黑体" w:eastAsia="黑体" w:cs="黑体"/>
          <w:snapToGrid/>
          <w:color w:val="000000"/>
          <w:spacing w:val="0"/>
          <w:kern w:val="21"/>
          <w:sz w:val="32"/>
          <w:szCs w:val="31"/>
          <w:lang w:val="en-US" w:eastAsia="zh-CN"/>
        </w:rPr>
        <w:t>二、组织实施</w:t>
      </w:r>
    </w:p>
    <w:p w14:paraId="57C8059D">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重大重点项目督查由项目</w:t>
      </w:r>
      <w:r>
        <w:rPr>
          <w:rFonts w:hint="eastAsia" w:ascii="仿宋_GB2312" w:hAnsi="仿宋_GB2312" w:eastAsia="仿宋_GB2312" w:cs="仿宋_GB2312"/>
          <w:snapToGrid/>
          <w:color w:val="000000"/>
          <w:spacing w:val="0"/>
          <w:kern w:val="21"/>
          <w:sz w:val="32"/>
          <w:szCs w:val="31"/>
          <w:lang w:val="en-US" w:eastAsia="zh-CN" w:bidi="ar-SA"/>
        </w:rPr>
        <w:t>联席</w:t>
      </w:r>
      <w:r>
        <w:rPr>
          <w:rFonts w:hint="eastAsia" w:ascii="仿宋_GB2312" w:hAnsi="仿宋_GB2312" w:eastAsia="仿宋_GB2312" w:cs="仿宋_GB2312"/>
          <w:snapToGrid/>
          <w:color w:val="000000"/>
          <w:spacing w:val="0"/>
          <w:kern w:val="21"/>
          <w:sz w:val="32"/>
          <w:szCs w:val="31"/>
          <w:lang w:val="en-US" w:eastAsia="en-US" w:bidi="ar-SA"/>
        </w:rPr>
        <w:t>办牵头，会同县委督查室、县政府督查室组织实施。</w:t>
      </w:r>
    </w:p>
    <w:p w14:paraId="7433504C">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（一）</w:t>
      </w:r>
      <w:r>
        <w:rPr>
          <w:rFonts w:hint="eastAsia" w:ascii="华文楷体" w:hAnsi="华文楷体" w:eastAsia="华文楷体" w:cs="华文楷体"/>
          <w:b/>
          <w:bCs/>
          <w:snapToGrid/>
          <w:color w:val="000000"/>
          <w:spacing w:val="0"/>
          <w:kern w:val="21"/>
          <w:sz w:val="32"/>
          <w:szCs w:val="31"/>
          <w:lang w:val="en-US" w:eastAsia="zh-CN" w:bidi="ar-SA"/>
        </w:rPr>
        <w:t>日常督查</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日常督查工作</w:t>
      </w:r>
      <w:r>
        <w:rPr>
          <w:rFonts w:hint="eastAsia" w:ascii="仿宋_GB2312" w:hAnsi="仿宋_GB2312" w:eastAsia="仿宋_GB2312" w:cs="仿宋_GB2312"/>
          <w:snapToGrid/>
          <w:color w:val="000000"/>
          <w:spacing w:val="0"/>
          <w:kern w:val="21"/>
          <w:sz w:val="32"/>
          <w:szCs w:val="31"/>
          <w:lang w:val="en-US" w:eastAsia="en-US" w:bidi="ar-SA"/>
        </w:rPr>
        <w:t>坚持</w:t>
      </w:r>
      <w:r>
        <w:rPr>
          <w:rFonts w:hint="eastAsia" w:ascii="仿宋_GB2312" w:hAnsi="仿宋_GB2312" w:eastAsia="仿宋_GB2312" w:cs="仿宋_GB2312"/>
          <w:snapToGrid/>
          <w:color w:val="000000"/>
          <w:spacing w:val="0"/>
          <w:kern w:val="21"/>
          <w:sz w:val="32"/>
          <w:szCs w:val="31"/>
          <w:lang w:val="en-US" w:eastAsia="zh-CN" w:bidi="ar-SA"/>
        </w:rPr>
        <w:t>随机、及时、客观原则，要求督查人员务必做到深入项目现场、面对面沟通、全面细致了解项目推进情况</w:t>
      </w:r>
      <w:r>
        <w:rPr>
          <w:rFonts w:hint="eastAsia" w:ascii="仿宋_GB2312" w:hAnsi="仿宋_GB2312" w:eastAsia="仿宋_GB2312" w:cs="仿宋_GB2312"/>
          <w:snapToGrid/>
          <w:color w:val="000000"/>
          <w:spacing w:val="0"/>
          <w:kern w:val="21"/>
          <w:sz w:val="32"/>
          <w:szCs w:val="31"/>
          <w:lang w:val="en-US" w:eastAsia="en-US" w:bidi="ar-SA"/>
        </w:rPr>
        <w:t>。重点围绕项目形象进度、投资额度、推进效果</w:t>
      </w:r>
      <w:r>
        <w:rPr>
          <w:rFonts w:hint="eastAsia" w:ascii="仿宋_GB2312" w:hAnsi="仿宋_GB2312" w:eastAsia="仿宋_GB2312" w:cs="仿宋_GB2312"/>
          <w:snapToGrid/>
          <w:color w:val="000000"/>
          <w:spacing w:val="0"/>
          <w:kern w:val="21"/>
          <w:sz w:val="32"/>
          <w:szCs w:val="31"/>
          <w:lang w:val="en-US" w:eastAsia="zh-CN" w:bidi="ar-SA"/>
        </w:rPr>
        <w:t>、存在的困难和问题，</w:t>
      </w:r>
      <w:r>
        <w:rPr>
          <w:rFonts w:hint="eastAsia" w:ascii="仿宋_GB2312" w:hAnsi="仿宋_GB2312" w:eastAsia="仿宋_GB2312" w:cs="仿宋_GB2312"/>
          <w:snapToGrid/>
          <w:color w:val="000000"/>
          <w:spacing w:val="0"/>
          <w:kern w:val="21"/>
          <w:sz w:val="32"/>
          <w:szCs w:val="31"/>
          <w:lang w:val="en-US" w:eastAsia="en-US" w:bidi="ar-SA"/>
        </w:rPr>
        <w:t>以及有关县领导调度、批示、指示</w:t>
      </w:r>
      <w:r>
        <w:rPr>
          <w:rFonts w:hint="eastAsia" w:ascii="仿宋_GB2312" w:hAnsi="仿宋_GB2312" w:eastAsia="仿宋_GB2312" w:cs="仿宋_GB2312"/>
          <w:snapToGrid/>
          <w:color w:val="000000"/>
          <w:spacing w:val="0"/>
          <w:kern w:val="21"/>
          <w:sz w:val="32"/>
          <w:szCs w:val="31"/>
          <w:lang w:val="en-US" w:eastAsia="zh-CN" w:bidi="ar-SA"/>
        </w:rPr>
        <w:t>、交办事项</w:t>
      </w:r>
      <w:r>
        <w:rPr>
          <w:rFonts w:hint="eastAsia" w:ascii="仿宋_GB2312" w:hAnsi="仿宋_GB2312" w:eastAsia="仿宋_GB2312" w:cs="仿宋_GB2312"/>
          <w:snapToGrid/>
          <w:color w:val="000000"/>
          <w:spacing w:val="0"/>
          <w:kern w:val="21"/>
          <w:sz w:val="32"/>
          <w:szCs w:val="31"/>
          <w:lang w:val="en-US" w:eastAsia="en-US" w:bidi="ar-SA"/>
        </w:rPr>
        <w:t>的落实情况进行督查，掌握负责县领导协调解决问题情况及</w:t>
      </w:r>
      <w:r>
        <w:rPr>
          <w:rFonts w:hint="eastAsia" w:ascii="仿宋_GB2312" w:hAnsi="仿宋_GB2312" w:eastAsia="仿宋_GB2312" w:cs="仿宋_GB2312"/>
          <w:snapToGrid/>
          <w:color w:val="000000"/>
          <w:spacing w:val="0"/>
          <w:kern w:val="21"/>
          <w:sz w:val="32"/>
          <w:szCs w:val="31"/>
          <w:lang w:val="en-US" w:eastAsia="zh-CN" w:bidi="ar-SA"/>
        </w:rPr>
        <w:t>要素</w:t>
      </w:r>
      <w:r>
        <w:rPr>
          <w:rFonts w:hint="eastAsia" w:ascii="仿宋_GB2312" w:hAnsi="仿宋_GB2312" w:eastAsia="仿宋_GB2312" w:cs="仿宋_GB2312"/>
          <w:snapToGrid/>
          <w:color w:val="000000"/>
          <w:spacing w:val="0"/>
          <w:kern w:val="21"/>
          <w:sz w:val="32"/>
          <w:szCs w:val="31"/>
          <w:lang w:val="en-US" w:eastAsia="en-US" w:bidi="ar-SA"/>
        </w:rPr>
        <w:t>保障单位服务责任到位情况</w:t>
      </w:r>
      <w:r>
        <w:rPr>
          <w:rFonts w:hint="eastAsia" w:ascii="仿宋_GB2312" w:hAnsi="仿宋_GB2312" w:eastAsia="仿宋_GB2312" w:cs="仿宋_GB2312"/>
          <w:snapToGrid/>
          <w:color w:val="000000"/>
          <w:spacing w:val="0"/>
          <w:kern w:val="21"/>
          <w:sz w:val="32"/>
          <w:szCs w:val="31"/>
          <w:lang w:val="en-US" w:eastAsia="zh-CN" w:bidi="ar-SA"/>
        </w:rPr>
        <w:t>。</w:t>
      </w:r>
    </w:p>
    <w:p w14:paraId="6499276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（二）</w:t>
      </w:r>
      <w:r>
        <w:rPr>
          <w:rFonts w:hint="eastAsia" w:ascii="华文楷体" w:hAnsi="华文楷体" w:eastAsia="华文楷体" w:cs="华文楷体"/>
          <w:b/>
          <w:bCs/>
          <w:snapToGrid/>
          <w:color w:val="000000"/>
          <w:spacing w:val="0"/>
          <w:kern w:val="21"/>
          <w:sz w:val="32"/>
          <w:szCs w:val="31"/>
          <w:lang w:val="en-US" w:eastAsia="zh-CN" w:bidi="ar-SA"/>
        </w:rPr>
        <w:t>定期通报</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定期</w:t>
      </w:r>
      <w:r>
        <w:rPr>
          <w:rFonts w:hint="eastAsia" w:ascii="仿宋_GB2312" w:hAnsi="仿宋_GB2312" w:eastAsia="仿宋_GB2312" w:cs="仿宋_GB2312"/>
          <w:snapToGrid/>
          <w:color w:val="000000"/>
          <w:spacing w:val="0"/>
          <w:kern w:val="21"/>
          <w:sz w:val="32"/>
          <w:szCs w:val="31"/>
          <w:lang w:val="en-US" w:eastAsia="en-US" w:bidi="ar-SA"/>
        </w:rPr>
        <w:t>召开</w:t>
      </w:r>
      <w:r>
        <w:rPr>
          <w:rFonts w:hint="eastAsia" w:ascii="仿宋_GB2312" w:hAnsi="仿宋_GB2312" w:eastAsia="仿宋_GB2312" w:cs="仿宋_GB2312"/>
          <w:snapToGrid/>
          <w:color w:val="000000"/>
          <w:spacing w:val="0"/>
          <w:kern w:val="21"/>
          <w:sz w:val="32"/>
          <w:szCs w:val="31"/>
          <w:lang w:val="en-US" w:eastAsia="zh-CN" w:bidi="ar-SA"/>
        </w:rPr>
        <w:t>全县重大重点项目推进</w:t>
      </w:r>
      <w:r>
        <w:rPr>
          <w:rFonts w:hint="eastAsia" w:ascii="仿宋_GB2312" w:hAnsi="仿宋_GB2312" w:eastAsia="仿宋_GB2312" w:cs="仿宋_GB2312"/>
          <w:snapToGrid/>
          <w:color w:val="000000"/>
          <w:spacing w:val="0"/>
          <w:kern w:val="21"/>
          <w:sz w:val="32"/>
          <w:szCs w:val="31"/>
          <w:lang w:val="en-US" w:eastAsia="en-US" w:bidi="ar-SA"/>
        </w:rPr>
        <w:t>工作例会，</w:t>
      </w:r>
      <w:r>
        <w:rPr>
          <w:rFonts w:hint="eastAsia" w:ascii="仿宋_GB2312" w:hAnsi="仿宋_GB2312" w:eastAsia="仿宋_GB2312" w:cs="仿宋_GB2312"/>
          <w:snapToGrid/>
          <w:color w:val="000000"/>
          <w:spacing w:val="0"/>
          <w:kern w:val="21"/>
          <w:sz w:val="32"/>
          <w:szCs w:val="31"/>
          <w:lang w:val="en-US" w:eastAsia="zh-CN" w:bidi="ar-SA"/>
        </w:rPr>
        <w:t>汇总项目督查</w:t>
      </w:r>
      <w:r>
        <w:rPr>
          <w:rFonts w:hint="eastAsia" w:ascii="仿宋_GB2312" w:hAnsi="仿宋_GB2312" w:eastAsia="仿宋_GB2312" w:cs="仿宋_GB2312"/>
          <w:snapToGrid/>
          <w:color w:val="000000"/>
          <w:spacing w:val="0"/>
          <w:kern w:val="21"/>
          <w:sz w:val="32"/>
          <w:szCs w:val="31"/>
          <w:lang w:val="en-US" w:eastAsia="en-US" w:bidi="ar-SA"/>
        </w:rPr>
        <w:t>情况</w:t>
      </w:r>
      <w:r>
        <w:rPr>
          <w:rFonts w:hint="eastAsia" w:ascii="仿宋_GB2312" w:hAnsi="仿宋_GB2312" w:eastAsia="仿宋_GB2312" w:cs="仿宋_GB2312"/>
          <w:snapToGrid/>
          <w:color w:val="000000"/>
          <w:spacing w:val="0"/>
          <w:kern w:val="21"/>
          <w:sz w:val="32"/>
          <w:szCs w:val="31"/>
          <w:lang w:val="en-US" w:eastAsia="zh-CN" w:bidi="ar-SA"/>
        </w:rPr>
        <w:t>和相关工作任务落实情况，分析研判项目推进形势，每半月编印一期项目推进工作</w:t>
      </w:r>
      <w:r>
        <w:rPr>
          <w:rFonts w:hint="eastAsia" w:ascii="仿宋_GB2312" w:hAnsi="仿宋_GB2312" w:eastAsia="仿宋_GB2312" w:cs="仿宋_GB2312"/>
          <w:snapToGrid/>
          <w:color w:val="000000"/>
          <w:spacing w:val="0"/>
          <w:kern w:val="21"/>
          <w:sz w:val="32"/>
          <w:szCs w:val="31"/>
          <w:lang w:val="en-US" w:eastAsia="en-US" w:bidi="ar-SA"/>
        </w:rPr>
        <w:t>简报，呈报县主要领导及相关项目负责县领导，</w:t>
      </w:r>
      <w:r>
        <w:rPr>
          <w:rFonts w:hint="eastAsia" w:ascii="仿宋_GB2312" w:hAnsi="仿宋_GB2312" w:eastAsia="仿宋_GB2312" w:cs="仿宋_GB2312"/>
          <w:snapToGrid/>
          <w:color w:val="000000"/>
          <w:spacing w:val="0"/>
          <w:kern w:val="21"/>
          <w:sz w:val="32"/>
          <w:szCs w:val="31"/>
          <w:lang w:val="en-US" w:eastAsia="zh-CN" w:bidi="ar-SA"/>
        </w:rPr>
        <w:t>并</w:t>
      </w:r>
      <w:r>
        <w:rPr>
          <w:rFonts w:hint="eastAsia" w:ascii="仿宋_GB2312" w:hAnsi="仿宋_GB2312" w:eastAsia="仿宋_GB2312" w:cs="仿宋_GB2312"/>
          <w:snapToGrid/>
          <w:color w:val="000000"/>
          <w:spacing w:val="0"/>
          <w:kern w:val="21"/>
          <w:sz w:val="32"/>
          <w:szCs w:val="31"/>
          <w:lang w:val="en-US" w:eastAsia="en-US" w:bidi="ar-SA"/>
        </w:rPr>
        <w:t>抄送相关项目责任单位负责同志。</w:t>
      </w:r>
    </w:p>
    <w:p w14:paraId="4D94D2F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ascii="仿宋_GB2312" w:hAnsi="仿宋_GB2312" w:eastAsia="仿宋_GB2312" w:cs="FangSong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（三）</w:t>
      </w:r>
      <w:r>
        <w:rPr>
          <w:rFonts w:hint="eastAsia" w:ascii="华文楷体" w:hAnsi="华文楷体" w:eastAsia="华文楷体" w:cs="华文楷体"/>
          <w:b/>
          <w:bCs/>
          <w:snapToGrid/>
          <w:color w:val="000000"/>
          <w:spacing w:val="0"/>
          <w:kern w:val="21"/>
          <w:sz w:val="32"/>
          <w:szCs w:val="31"/>
          <w:lang w:val="en-US" w:eastAsia="zh-CN" w:bidi="ar-SA"/>
        </w:rPr>
        <w:t>季度专报</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en-US" w:bidi="ar-SA"/>
        </w:rPr>
        <w:t>每</w:t>
      </w:r>
      <w:r>
        <w:rPr>
          <w:rFonts w:hint="eastAsia" w:ascii="仿宋_GB2312" w:hAnsi="仿宋_GB2312" w:eastAsia="仿宋_GB2312" w:cs="仿宋_GB2312"/>
          <w:snapToGrid/>
          <w:color w:val="000000"/>
          <w:spacing w:val="0"/>
          <w:kern w:val="21"/>
          <w:sz w:val="32"/>
          <w:szCs w:val="31"/>
          <w:lang w:val="en-US" w:eastAsia="zh-CN" w:bidi="ar-SA"/>
        </w:rPr>
        <w:t>季度形成一次项目推进工作专报，对本季度项目推进情况、项目督查情况进行汇总，对存在的困难问题进行分析，并提出合理化意见建议</w:t>
      </w:r>
      <w:r>
        <w:rPr>
          <w:rFonts w:hint="eastAsia" w:ascii="仿宋_GB2312" w:hAnsi="仿宋_GB2312" w:eastAsia="仿宋_GB2312" w:cs="仿宋_GB2312"/>
          <w:snapToGrid/>
          <w:color w:val="000000"/>
          <w:spacing w:val="0"/>
          <w:kern w:val="21"/>
          <w:sz w:val="32"/>
          <w:szCs w:val="31"/>
          <w:lang w:val="en-US" w:eastAsia="en-US" w:bidi="ar-SA"/>
        </w:rPr>
        <w:t>。</w:t>
      </w:r>
    </w:p>
    <w:p w14:paraId="7606126C">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default" w:ascii="黑体" w:hAnsi="黑体" w:eastAsia="黑体" w:cs="黑体"/>
          <w:snapToGrid/>
          <w:color w:val="000000"/>
          <w:spacing w:val="0"/>
          <w:kern w:val="21"/>
          <w:sz w:val="32"/>
          <w:szCs w:val="31"/>
          <w:lang w:val="en-US" w:eastAsia="zh-CN"/>
        </w:rPr>
      </w:pPr>
      <w:r>
        <w:rPr>
          <w:rFonts w:hint="eastAsia" w:ascii="黑体" w:hAnsi="黑体" w:eastAsia="黑体" w:cs="黑体"/>
          <w:snapToGrid/>
          <w:color w:val="000000"/>
          <w:spacing w:val="0"/>
          <w:kern w:val="21"/>
          <w:sz w:val="32"/>
          <w:szCs w:val="31"/>
          <w:lang w:eastAsia="en-US"/>
        </w:rPr>
        <w:t>三、</w:t>
      </w:r>
      <w:r>
        <w:rPr>
          <w:rFonts w:hint="eastAsia" w:ascii="黑体" w:hAnsi="黑体" w:eastAsia="黑体" w:cs="黑体"/>
          <w:snapToGrid/>
          <w:color w:val="000000"/>
          <w:spacing w:val="0"/>
          <w:kern w:val="21"/>
          <w:sz w:val="32"/>
          <w:szCs w:val="31"/>
          <w:lang w:val="en-US" w:eastAsia="zh-CN"/>
        </w:rPr>
        <w:t>督查督办</w:t>
      </w:r>
    </w:p>
    <w:p w14:paraId="538DEB21">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ascii="仿宋_GB2312" w:hAnsi="仿宋_GB2312" w:eastAsia="仿宋_GB2312" w:cs="FangSong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对项目</w:t>
      </w:r>
      <w:r>
        <w:rPr>
          <w:rFonts w:hint="eastAsia" w:ascii="仿宋_GB2312" w:hAnsi="仿宋_GB2312" w:eastAsia="仿宋_GB2312" w:cs="仿宋_GB2312"/>
          <w:snapToGrid/>
          <w:color w:val="000000"/>
          <w:spacing w:val="0"/>
          <w:kern w:val="21"/>
          <w:sz w:val="32"/>
          <w:szCs w:val="31"/>
          <w:lang w:val="en-US" w:eastAsia="zh-CN" w:bidi="ar-SA"/>
        </w:rPr>
        <w:t>推进进度滞后、不能按时完成整改任务或不能按时落实会议纪要、领导指示及有关工作任务要求的，</w:t>
      </w:r>
      <w:r>
        <w:rPr>
          <w:rFonts w:hint="eastAsia" w:ascii="仿宋_GB2312" w:hAnsi="仿宋_GB2312" w:eastAsia="仿宋_GB2312" w:cs="仿宋_GB2312"/>
          <w:snapToGrid/>
          <w:color w:val="000000"/>
          <w:spacing w:val="0"/>
          <w:kern w:val="21"/>
          <w:sz w:val="32"/>
          <w:szCs w:val="31"/>
          <w:lang w:val="en-US" w:eastAsia="en-US" w:bidi="ar-SA"/>
        </w:rPr>
        <w:t>序时启动</w:t>
      </w:r>
      <w:r>
        <w:rPr>
          <w:rFonts w:hint="eastAsia" w:ascii="仿宋_GB2312" w:hAnsi="仿宋_GB2312" w:eastAsia="仿宋_GB2312" w:cs="仿宋_GB2312"/>
          <w:snapToGrid/>
          <w:color w:val="000000"/>
          <w:spacing w:val="0"/>
          <w:kern w:val="21"/>
          <w:sz w:val="32"/>
          <w:szCs w:val="31"/>
          <w:lang w:val="en-US" w:eastAsia="zh-CN" w:bidi="ar-SA"/>
        </w:rPr>
        <w:t>提示</w:t>
      </w:r>
      <w:r>
        <w:rPr>
          <w:rFonts w:hint="eastAsia" w:ascii="仿宋_GB2312" w:hAnsi="仿宋_GB2312" w:eastAsia="仿宋_GB2312" w:cs="仿宋_GB2312"/>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黄灯、</w:t>
      </w:r>
      <w:r>
        <w:rPr>
          <w:rFonts w:hint="eastAsia" w:ascii="仿宋_GB2312" w:hAnsi="仿宋_GB2312" w:eastAsia="仿宋_GB2312" w:cs="仿宋_GB2312"/>
          <w:snapToGrid/>
          <w:color w:val="000000"/>
          <w:spacing w:val="0"/>
          <w:kern w:val="21"/>
          <w:sz w:val="32"/>
          <w:szCs w:val="31"/>
          <w:lang w:val="en-US" w:eastAsia="en-US" w:bidi="ar-SA"/>
        </w:rPr>
        <w:t>督办、</w:t>
      </w:r>
      <w:r>
        <w:rPr>
          <w:rFonts w:hint="eastAsia" w:ascii="仿宋_GB2312" w:hAnsi="仿宋_GB2312" w:eastAsia="仿宋_GB2312" w:cs="仿宋_GB2312"/>
          <w:snapToGrid/>
          <w:color w:val="000000"/>
          <w:spacing w:val="0"/>
          <w:kern w:val="21"/>
          <w:sz w:val="32"/>
          <w:szCs w:val="31"/>
          <w:lang w:val="en-US" w:eastAsia="zh-CN" w:bidi="ar-SA"/>
        </w:rPr>
        <w:t>红灯</w:t>
      </w:r>
      <w:r>
        <w:rPr>
          <w:rFonts w:hint="eastAsia" w:ascii="仿宋_GB2312" w:hAnsi="仿宋_GB2312" w:eastAsia="仿宋_GB2312" w:cs="仿宋_GB2312"/>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移送督查督办机制</w:t>
      </w:r>
      <w:r>
        <w:rPr>
          <w:rFonts w:hint="eastAsia" w:ascii="仿宋_GB2312" w:hAnsi="仿宋_GB2312" w:eastAsia="仿宋_GB2312" w:cs="仿宋_GB2312"/>
          <w:snapToGrid/>
          <w:color w:val="000000"/>
          <w:spacing w:val="0"/>
          <w:kern w:val="21"/>
          <w:sz w:val="32"/>
          <w:szCs w:val="31"/>
          <w:lang w:val="en-US" w:eastAsia="en-US" w:bidi="ar-SA"/>
        </w:rPr>
        <w:t>。</w:t>
      </w:r>
    </w:p>
    <w:p w14:paraId="66D4D3F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zh-CN" w:bidi="ar-SA"/>
        </w:rPr>
      </w:pPr>
      <w:r>
        <w:rPr>
          <w:rFonts w:hint="eastAsia" w:ascii="华文楷体" w:hAnsi="华文楷体" w:eastAsia="华文楷体" w:cs="华文楷体"/>
          <w:b/>
          <w:bCs/>
          <w:snapToGrid/>
          <w:color w:val="000000"/>
          <w:spacing w:val="0"/>
          <w:kern w:val="21"/>
          <w:sz w:val="32"/>
          <w:szCs w:val="31"/>
          <w:lang w:val="en-US" w:eastAsia="en-US" w:bidi="ar-SA"/>
        </w:rPr>
        <w:t>（一）</w:t>
      </w:r>
      <w:r>
        <w:rPr>
          <w:rFonts w:hint="eastAsia" w:ascii="华文楷体" w:hAnsi="华文楷体" w:eastAsia="华文楷体" w:cs="华文楷体"/>
          <w:b/>
          <w:bCs/>
          <w:snapToGrid/>
          <w:color w:val="000000"/>
          <w:spacing w:val="0"/>
          <w:kern w:val="21"/>
          <w:sz w:val="32"/>
          <w:szCs w:val="31"/>
          <w:lang w:val="en-US" w:eastAsia="zh-CN" w:bidi="ar-SA"/>
        </w:rPr>
        <w:t>提示</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根据项目倒排工序表，</w:t>
      </w:r>
      <w:r>
        <w:rPr>
          <w:rFonts w:hint="eastAsia" w:ascii="仿宋_GB2312" w:hAnsi="仿宋_GB2312" w:eastAsia="仿宋_GB2312" w:cs="仿宋_GB2312"/>
          <w:snapToGrid/>
          <w:color w:val="000000"/>
          <w:spacing w:val="0"/>
          <w:kern w:val="21"/>
          <w:sz w:val="32"/>
          <w:szCs w:val="31"/>
          <w:lang w:val="en-US" w:eastAsia="en-US" w:bidi="ar-SA"/>
        </w:rPr>
        <w:t>对项目推进</w:t>
      </w:r>
      <w:r>
        <w:rPr>
          <w:rFonts w:hint="eastAsia" w:ascii="仿宋_GB2312" w:hAnsi="仿宋_GB2312" w:eastAsia="仿宋_GB2312" w:cs="仿宋_GB2312"/>
          <w:snapToGrid/>
          <w:color w:val="000000"/>
          <w:spacing w:val="0"/>
          <w:kern w:val="21"/>
          <w:sz w:val="32"/>
          <w:szCs w:val="31"/>
          <w:lang w:val="en-US" w:eastAsia="zh-CN" w:bidi="ar-SA"/>
        </w:rPr>
        <w:t>即将到关键节点（如开工、竣工等）前，或项目未按时序要求推进的，项目联席办将向相关项目责任单位下发《提示单》，提醒项目责任单位注意项目推进时序要求，确保按时完成项目建设</w:t>
      </w:r>
      <w:r>
        <w:rPr>
          <w:rFonts w:hint="eastAsia" w:ascii="仿宋_GB2312" w:hAnsi="仿宋_GB2312" w:eastAsia="仿宋_GB2312" w:cs="仿宋_GB2312"/>
          <w:snapToGrid/>
          <w:color w:val="000000"/>
          <w:spacing w:val="0"/>
          <w:kern w:val="21"/>
          <w:sz w:val="32"/>
          <w:szCs w:val="31"/>
          <w:lang w:val="en-US" w:eastAsia="en-US" w:bidi="ar-SA"/>
        </w:rPr>
        <w:t>目标</w:t>
      </w:r>
      <w:r>
        <w:rPr>
          <w:rFonts w:hint="eastAsia" w:ascii="仿宋_GB2312" w:hAnsi="仿宋_GB2312" w:eastAsia="仿宋_GB2312" w:cs="仿宋_GB2312"/>
          <w:snapToGrid/>
          <w:color w:val="000000"/>
          <w:spacing w:val="0"/>
          <w:kern w:val="21"/>
          <w:sz w:val="32"/>
          <w:szCs w:val="31"/>
          <w:lang w:val="en-US" w:eastAsia="zh-CN" w:bidi="ar-SA"/>
        </w:rPr>
        <w:t>。</w:t>
      </w:r>
    </w:p>
    <w:p w14:paraId="2A165755">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zh-CN" w:bidi="ar-SA"/>
        </w:rPr>
        <w:t>（二）黄灯。</w:t>
      </w:r>
      <w:r>
        <w:rPr>
          <w:rFonts w:hint="eastAsia" w:ascii="仿宋_GB2312" w:hAnsi="仿宋_GB2312" w:eastAsia="仿宋_GB2312" w:cs="仿宋_GB2312"/>
          <w:snapToGrid/>
          <w:color w:val="000000"/>
          <w:spacing w:val="0"/>
          <w:kern w:val="21"/>
          <w:sz w:val="32"/>
          <w:szCs w:val="31"/>
          <w:lang w:val="en-US" w:eastAsia="zh-CN" w:bidi="ar-SA"/>
        </w:rPr>
        <w:t>对项目推进未按时达到计划目标，在关键环节已经出现进度滞后等情况，或未按要求落实有关工作任务的，项目联席办将向相关项目责任单位下发《黄灯警示单》</w:t>
      </w:r>
      <w:r>
        <w:rPr>
          <w:rFonts w:hint="eastAsia" w:ascii="仿宋_GB2312" w:hAnsi="仿宋_GB2312" w:eastAsia="仿宋_GB2312" w:cs="仿宋_GB2312"/>
          <w:snapToGrid/>
          <w:color w:val="000000"/>
          <w:spacing w:val="0"/>
          <w:kern w:val="21"/>
          <w:sz w:val="32"/>
          <w:szCs w:val="31"/>
          <w:lang w:val="en-US" w:eastAsia="en-US" w:bidi="ar-SA"/>
        </w:rPr>
        <w:t>，据实明确整改</w:t>
      </w:r>
      <w:r>
        <w:rPr>
          <w:rFonts w:hint="eastAsia" w:ascii="仿宋_GB2312" w:hAnsi="仿宋_GB2312" w:eastAsia="仿宋_GB2312" w:cs="仿宋_GB2312"/>
          <w:snapToGrid/>
          <w:color w:val="000000"/>
          <w:spacing w:val="0"/>
          <w:kern w:val="21"/>
          <w:sz w:val="32"/>
          <w:szCs w:val="31"/>
          <w:lang w:val="en-US" w:eastAsia="zh-CN" w:bidi="ar-SA"/>
        </w:rPr>
        <w:t>内容</w:t>
      </w:r>
      <w:r>
        <w:rPr>
          <w:rFonts w:hint="eastAsia" w:ascii="仿宋_GB2312" w:hAnsi="仿宋_GB2312" w:eastAsia="仿宋_GB2312" w:cs="仿宋_GB2312"/>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督促</w:t>
      </w:r>
      <w:r>
        <w:rPr>
          <w:rFonts w:hint="eastAsia" w:ascii="仿宋_GB2312" w:hAnsi="仿宋_GB2312" w:eastAsia="仿宋_GB2312" w:cs="仿宋_GB2312"/>
          <w:snapToGrid/>
          <w:color w:val="000000"/>
          <w:spacing w:val="0"/>
          <w:kern w:val="21"/>
          <w:sz w:val="32"/>
          <w:szCs w:val="31"/>
          <w:lang w:val="en-US" w:eastAsia="en-US" w:bidi="ar-SA"/>
        </w:rPr>
        <w:t>整改</w:t>
      </w:r>
      <w:r>
        <w:rPr>
          <w:rFonts w:hint="eastAsia" w:ascii="仿宋_GB2312" w:hAnsi="仿宋_GB2312" w:eastAsia="仿宋_GB2312" w:cs="仿宋_GB2312"/>
          <w:snapToGrid/>
          <w:color w:val="000000"/>
          <w:spacing w:val="0"/>
          <w:kern w:val="21"/>
          <w:sz w:val="32"/>
          <w:szCs w:val="31"/>
          <w:lang w:val="en-US" w:eastAsia="zh-CN" w:bidi="ar-SA"/>
        </w:rPr>
        <w:t>落实</w:t>
      </w:r>
      <w:r>
        <w:rPr>
          <w:rFonts w:hint="eastAsia" w:ascii="仿宋_GB2312" w:hAnsi="仿宋_GB2312" w:eastAsia="仿宋_GB2312" w:cs="仿宋_GB2312"/>
          <w:snapToGrid/>
          <w:color w:val="000000"/>
          <w:spacing w:val="0"/>
          <w:kern w:val="21"/>
          <w:sz w:val="32"/>
          <w:szCs w:val="31"/>
          <w:lang w:val="en-US" w:eastAsia="en-US" w:bidi="ar-SA"/>
        </w:rPr>
        <w:t>到位。</w:t>
      </w:r>
    </w:p>
    <w:p w14:paraId="2995F9F6">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华文楷体" w:hAnsi="华文楷体" w:eastAsia="华文楷体" w:cs="华文楷体"/>
          <w:b/>
          <w:bCs/>
          <w:snapToGrid/>
          <w:color w:val="000000"/>
          <w:spacing w:val="0"/>
          <w:kern w:val="21"/>
          <w:sz w:val="32"/>
          <w:szCs w:val="31"/>
          <w:lang w:val="en-US" w:eastAsia="zh-CN" w:bidi="ar-SA"/>
        </w:rPr>
        <w:t>三</w:t>
      </w:r>
      <w:r>
        <w:rPr>
          <w:rFonts w:hint="eastAsia" w:ascii="华文楷体" w:hAnsi="华文楷体" w:eastAsia="华文楷体" w:cs="华文楷体"/>
          <w:b/>
          <w:bCs/>
          <w:snapToGrid/>
          <w:color w:val="000000"/>
          <w:spacing w:val="0"/>
          <w:kern w:val="21"/>
          <w:sz w:val="32"/>
          <w:szCs w:val="31"/>
          <w:lang w:val="en-US" w:eastAsia="en-US" w:bidi="ar-SA"/>
        </w:rPr>
        <w:t>）督办。</w:t>
      </w:r>
      <w:r>
        <w:rPr>
          <w:rFonts w:hint="eastAsia" w:ascii="仿宋_GB2312" w:hAnsi="仿宋_GB2312" w:eastAsia="仿宋_GB2312" w:cs="仿宋_GB2312"/>
          <w:snapToGrid/>
          <w:color w:val="000000"/>
          <w:spacing w:val="0"/>
          <w:kern w:val="21"/>
          <w:sz w:val="32"/>
          <w:szCs w:val="31"/>
          <w:lang w:val="en-US" w:eastAsia="en-US" w:bidi="ar-SA"/>
        </w:rPr>
        <w:t>对未能按</w:t>
      </w:r>
      <w:r>
        <w:rPr>
          <w:rFonts w:hint="eastAsia" w:ascii="仿宋_GB2312" w:hAnsi="仿宋_GB2312" w:eastAsia="仿宋_GB2312" w:cs="仿宋_GB2312"/>
          <w:snapToGrid/>
          <w:color w:val="000000"/>
          <w:spacing w:val="0"/>
          <w:kern w:val="21"/>
          <w:sz w:val="32"/>
          <w:szCs w:val="31"/>
          <w:lang w:val="en-US" w:eastAsia="zh-CN" w:bidi="ar-SA"/>
        </w:rPr>
        <w:t>《黄灯警示单》</w:t>
      </w:r>
      <w:r>
        <w:rPr>
          <w:rFonts w:hint="eastAsia" w:ascii="仿宋_GB2312" w:hAnsi="仿宋_GB2312" w:eastAsia="仿宋_GB2312" w:cs="仿宋_GB2312"/>
          <w:snapToGrid/>
          <w:color w:val="000000"/>
          <w:spacing w:val="0"/>
          <w:kern w:val="21"/>
          <w:sz w:val="32"/>
          <w:szCs w:val="31"/>
          <w:lang w:val="en-US" w:eastAsia="en-US" w:bidi="ar-SA"/>
        </w:rPr>
        <w:t>要求完成限期整改工作</w:t>
      </w:r>
      <w:r>
        <w:rPr>
          <w:rFonts w:hint="eastAsia" w:ascii="仿宋_GB2312" w:hAnsi="仿宋_GB2312" w:eastAsia="仿宋_GB2312" w:cs="仿宋_GB2312"/>
          <w:snapToGrid/>
          <w:color w:val="000000"/>
          <w:spacing w:val="0"/>
          <w:kern w:val="21"/>
          <w:sz w:val="32"/>
          <w:szCs w:val="31"/>
          <w:lang w:val="en-US" w:eastAsia="zh-CN" w:bidi="ar-SA"/>
        </w:rPr>
        <w:t>的，项目联席办将向相关项目责任单位下发《督办单》</w:t>
      </w:r>
      <w:r>
        <w:rPr>
          <w:rFonts w:hint="eastAsia" w:ascii="仿宋_GB2312" w:hAnsi="仿宋_GB2312" w:eastAsia="仿宋_GB2312" w:cs="仿宋_GB2312"/>
          <w:snapToGrid/>
          <w:color w:val="000000"/>
          <w:spacing w:val="0"/>
          <w:kern w:val="21"/>
          <w:sz w:val="32"/>
          <w:szCs w:val="31"/>
          <w:lang w:val="en-US" w:eastAsia="en-US" w:bidi="ar-SA"/>
        </w:rPr>
        <w:t>，据实明确整改</w:t>
      </w:r>
      <w:r>
        <w:rPr>
          <w:rFonts w:hint="eastAsia" w:ascii="仿宋_GB2312" w:hAnsi="仿宋_GB2312" w:eastAsia="仿宋_GB2312" w:cs="仿宋_GB2312"/>
          <w:snapToGrid/>
          <w:color w:val="000000"/>
          <w:spacing w:val="0"/>
          <w:kern w:val="21"/>
          <w:sz w:val="32"/>
          <w:szCs w:val="31"/>
          <w:lang w:val="en-US" w:eastAsia="zh-CN" w:bidi="ar-SA"/>
        </w:rPr>
        <w:t>内容</w:t>
      </w:r>
      <w:r>
        <w:rPr>
          <w:rFonts w:hint="eastAsia" w:ascii="仿宋_GB2312" w:hAnsi="仿宋_GB2312" w:eastAsia="仿宋_GB2312" w:cs="仿宋_GB2312"/>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督促</w:t>
      </w:r>
      <w:r>
        <w:rPr>
          <w:rFonts w:hint="eastAsia" w:ascii="仿宋_GB2312" w:hAnsi="仿宋_GB2312" w:eastAsia="仿宋_GB2312" w:cs="仿宋_GB2312"/>
          <w:snapToGrid/>
          <w:color w:val="000000"/>
          <w:spacing w:val="0"/>
          <w:kern w:val="21"/>
          <w:sz w:val="32"/>
          <w:szCs w:val="31"/>
          <w:lang w:val="en-US" w:eastAsia="en-US" w:bidi="ar-SA"/>
        </w:rPr>
        <w:t>整改</w:t>
      </w:r>
      <w:r>
        <w:rPr>
          <w:rFonts w:hint="eastAsia" w:ascii="仿宋_GB2312" w:hAnsi="仿宋_GB2312" w:eastAsia="仿宋_GB2312" w:cs="仿宋_GB2312"/>
          <w:snapToGrid/>
          <w:color w:val="000000"/>
          <w:spacing w:val="0"/>
          <w:kern w:val="21"/>
          <w:sz w:val="32"/>
          <w:szCs w:val="31"/>
          <w:lang w:val="en-US" w:eastAsia="zh-CN" w:bidi="ar-SA"/>
        </w:rPr>
        <w:t>落实</w:t>
      </w:r>
      <w:r>
        <w:rPr>
          <w:rFonts w:hint="eastAsia" w:ascii="仿宋_GB2312" w:hAnsi="仿宋_GB2312" w:eastAsia="仿宋_GB2312" w:cs="仿宋_GB2312"/>
          <w:snapToGrid/>
          <w:color w:val="000000"/>
          <w:spacing w:val="0"/>
          <w:kern w:val="21"/>
          <w:sz w:val="32"/>
          <w:szCs w:val="31"/>
          <w:lang w:val="en-US" w:eastAsia="en-US" w:bidi="ar-SA"/>
        </w:rPr>
        <w:t>到位。</w:t>
      </w:r>
    </w:p>
    <w:p w14:paraId="6024478A">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华文楷体" w:hAnsi="华文楷体" w:eastAsia="华文楷体" w:cs="华文楷体"/>
          <w:b/>
          <w:bCs/>
          <w:snapToGrid/>
          <w:color w:val="000000"/>
          <w:spacing w:val="0"/>
          <w:kern w:val="21"/>
          <w:sz w:val="32"/>
          <w:szCs w:val="31"/>
          <w:lang w:val="en-US" w:eastAsia="zh-CN" w:bidi="ar-SA"/>
        </w:rPr>
        <w:t>四</w:t>
      </w:r>
      <w:r>
        <w:rPr>
          <w:rFonts w:hint="eastAsia" w:ascii="华文楷体" w:hAnsi="华文楷体" w:eastAsia="华文楷体" w:cs="华文楷体"/>
          <w:b/>
          <w:bCs/>
          <w:snapToGrid/>
          <w:color w:val="000000"/>
          <w:spacing w:val="0"/>
          <w:kern w:val="21"/>
          <w:sz w:val="32"/>
          <w:szCs w:val="31"/>
          <w:lang w:val="en-US" w:eastAsia="en-US" w:bidi="ar-SA"/>
        </w:rPr>
        <w:t>）</w:t>
      </w:r>
      <w:r>
        <w:rPr>
          <w:rFonts w:hint="eastAsia" w:ascii="华文楷体" w:hAnsi="华文楷体" w:eastAsia="华文楷体" w:cs="华文楷体"/>
          <w:b/>
          <w:bCs/>
          <w:snapToGrid/>
          <w:color w:val="000000"/>
          <w:spacing w:val="0"/>
          <w:kern w:val="21"/>
          <w:sz w:val="32"/>
          <w:szCs w:val="31"/>
          <w:lang w:val="en-US" w:eastAsia="zh-CN" w:bidi="ar-SA"/>
        </w:rPr>
        <w:t>红灯、移送</w:t>
      </w:r>
      <w:r>
        <w:rPr>
          <w:rFonts w:ascii="仿宋_GB2312" w:hAnsi="仿宋_GB2312" w:eastAsia="仿宋_GB2312" w:cs="楷体"/>
          <w:snapToGrid/>
          <w:color w:val="000000"/>
          <w:spacing w:val="0"/>
          <w:kern w:val="21"/>
          <w:sz w:val="32"/>
          <w:szCs w:val="31"/>
          <w:lang w:val="en-US" w:eastAsia="en-US" w:bidi="ar-SA"/>
        </w:rPr>
        <w:t>。</w:t>
      </w:r>
      <w:r>
        <w:rPr>
          <w:rFonts w:hint="eastAsia" w:ascii="仿宋_GB2312" w:hAnsi="仿宋_GB2312" w:eastAsia="仿宋_GB2312" w:cs="仿宋_GB2312"/>
          <w:snapToGrid/>
          <w:color w:val="000000"/>
          <w:spacing w:val="0"/>
          <w:kern w:val="21"/>
          <w:sz w:val="32"/>
          <w:szCs w:val="31"/>
          <w:lang w:val="en-US" w:eastAsia="zh-CN" w:bidi="ar-SA"/>
        </w:rPr>
        <w:t>对未能按《督办单》要求完成限期整改工作的，项目联席办将向相关项目责任单位下发《红灯警告单》；同时向县纪委提交《问题线索移送单》，</w:t>
      </w:r>
      <w:r>
        <w:rPr>
          <w:rFonts w:hint="eastAsia" w:ascii="仿宋_GB2312" w:hAnsi="仿宋_GB2312" w:eastAsia="仿宋_GB2312" w:cs="仿宋_GB2312"/>
          <w:snapToGrid/>
          <w:color w:val="000000"/>
          <w:spacing w:val="0"/>
          <w:kern w:val="21"/>
          <w:sz w:val="32"/>
          <w:szCs w:val="31"/>
          <w:lang w:val="en-US" w:eastAsia="en-US" w:bidi="ar-SA"/>
        </w:rPr>
        <w:t>由县纪委监委按有关规定启动问责程序。</w:t>
      </w:r>
    </w:p>
    <w:p w14:paraId="0626441B">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仿宋_GB2312" w:hAnsi="仿宋_GB2312" w:eastAsia="仿宋_GB2312" w:cs="仿宋_GB2312"/>
          <w:snapToGrid/>
          <w:color w:val="000000"/>
          <w:spacing w:val="0"/>
          <w:kern w:val="21"/>
          <w:sz w:val="32"/>
          <w:szCs w:val="31"/>
          <w:lang w:val="en-US" w:eastAsia="en-US" w:bidi="ar-SA"/>
        </w:rPr>
        <w:t>督查</w:t>
      </w:r>
      <w:r>
        <w:rPr>
          <w:rFonts w:hint="eastAsia" w:ascii="仿宋_GB2312" w:hAnsi="仿宋_GB2312" w:eastAsia="仿宋_GB2312" w:cs="仿宋_GB2312"/>
          <w:snapToGrid/>
          <w:color w:val="000000"/>
          <w:spacing w:val="0"/>
          <w:kern w:val="21"/>
          <w:sz w:val="32"/>
          <w:szCs w:val="31"/>
          <w:lang w:val="en-US" w:eastAsia="zh-CN" w:bidi="ar-SA"/>
        </w:rPr>
        <w:t>督办</w:t>
      </w:r>
      <w:r>
        <w:rPr>
          <w:rFonts w:hint="eastAsia" w:ascii="仿宋_GB2312" w:hAnsi="仿宋_GB2312" w:eastAsia="仿宋_GB2312" w:cs="仿宋_GB2312"/>
          <w:snapToGrid/>
          <w:color w:val="000000"/>
          <w:spacing w:val="0"/>
          <w:kern w:val="21"/>
          <w:sz w:val="32"/>
          <w:szCs w:val="31"/>
          <w:lang w:val="en-US" w:eastAsia="en-US" w:bidi="ar-SA"/>
        </w:rPr>
        <w:t>情况</w:t>
      </w:r>
      <w:r>
        <w:rPr>
          <w:rFonts w:hint="eastAsia" w:ascii="仿宋_GB2312" w:hAnsi="仿宋_GB2312" w:eastAsia="仿宋_GB2312" w:cs="仿宋_GB2312"/>
          <w:snapToGrid/>
          <w:color w:val="000000"/>
          <w:spacing w:val="0"/>
          <w:kern w:val="21"/>
          <w:sz w:val="32"/>
          <w:szCs w:val="31"/>
          <w:lang w:val="en-US" w:eastAsia="zh-CN" w:bidi="ar-SA"/>
        </w:rPr>
        <w:t>将作为</w:t>
      </w:r>
      <w:r>
        <w:rPr>
          <w:rFonts w:hint="eastAsia" w:ascii="仿宋_GB2312" w:hAnsi="仿宋_GB2312" w:eastAsia="仿宋_GB2312" w:cs="仿宋_GB2312"/>
          <w:snapToGrid/>
          <w:color w:val="000000"/>
          <w:spacing w:val="0"/>
          <w:kern w:val="21"/>
          <w:sz w:val="32"/>
          <w:szCs w:val="31"/>
          <w:lang w:val="en-US" w:eastAsia="en-US" w:bidi="ar-SA"/>
        </w:rPr>
        <w:t>年度</w:t>
      </w:r>
      <w:r>
        <w:rPr>
          <w:rFonts w:hint="eastAsia" w:ascii="仿宋_GB2312" w:hAnsi="仿宋_GB2312" w:eastAsia="仿宋_GB2312" w:cs="仿宋_GB2312"/>
          <w:snapToGrid/>
          <w:color w:val="000000"/>
          <w:spacing w:val="0"/>
          <w:kern w:val="21"/>
          <w:sz w:val="32"/>
          <w:szCs w:val="31"/>
          <w:lang w:val="en-US" w:eastAsia="zh-CN" w:bidi="ar-SA"/>
        </w:rPr>
        <w:t>综合</w:t>
      </w:r>
      <w:r>
        <w:rPr>
          <w:rFonts w:hint="eastAsia" w:ascii="仿宋_GB2312" w:hAnsi="仿宋_GB2312" w:eastAsia="仿宋_GB2312" w:cs="仿宋_GB2312"/>
          <w:snapToGrid/>
          <w:color w:val="000000"/>
          <w:spacing w:val="0"/>
          <w:kern w:val="21"/>
          <w:sz w:val="32"/>
          <w:szCs w:val="31"/>
          <w:lang w:val="en-US" w:eastAsia="en-US" w:bidi="ar-SA"/>
        </w:rPr>
        <w:t>考核</w:t>
      </w:r>
      <w:r>
        <w:rPr>
          <w:rFonts w:hint="eastAsia" w:ascii="仿宋_GB2312" w:hAnsi="仿宋_GB2312" w:eastAsia="仿宋_GB2312" w:cs="仿宋_GB2312"/>
          <w:snapToGrid/>
          <w:color w:val="000000"/>
          <w:spacing w:val="0"/>
          <w:kern w:val="21"/>
          <w:sz w:val="32"/>
          <w:szCs w:val="31"/>
          <w:lang w:val="en-US" w:eastAsia="zh-CN" w:bidi="ar-SA"/>
        </w:rPr>
        <w:t>评分的重要依据</w:t>
      </w:r>
      <w:r>
        <w:rPr>
          <w:rFonts w:hint="eastAsia" w:ascii="仿宋_GB2312" w:hAnsi="仿宋_GB2312" w:eastAsia="仿宋_GB2312" w:cs="仿宋_GB2312"/>
          <w:snapToGrid/>
          <w:color w:val="000000"/>
          <w:spacing w:val="0"/>
          <w:kern w:val="21"/>
          <w:sz w:val="32"/>
          <w:szCs w:val="31"/>
          <w:lang w:val="en-US" w:eastAsia="en-US" w:bidi="ar-SA"/>
        </w:rPr>
        <w:t>。</w:t>
      </w:r>
    </w:p>
    <w:p w14:paraId="44F388D5">
      <w:pPr>
        <w:keepNext w:val="0"/>
        <w:keepLines w:val="0"/>
        <w:pageBreakBefore w:val="0"/>
        <w:widowControl w:val="0"/>
        <w:kinsoku/>
        <w:wordWrap w:val="0"/>
        <w:overflowPunct/>
        <w:topLinePunct/>
        <w:autoSpaceDE/>
        <w:autoSpaceDN/>
        <w:bidi w:val="0"/>
        <w:adjustRightInd/>
        <w:snapToGrid/>
        <w:spacing w:line="600" w:lineRule="exact"/>
        <w:ind w:left="0" w:leftChars="0" w:right="0" w:firstLine="640" w:firstLineChars="200"/>
        <w:jc w:val="left"/>
        <w:textAlignment w:val="baseline"/>
        <w:outlineLvl w:val="0"/>
        <w:rPr>
          <w:rFonts w:hint="eastAsia" w:ascii="黑体" w:hAnsi="黑体" w:eastAsia="黑体" w:cs="黑体"/>
          <w:snapToGrid/>
          <w:color w:val="000000"/>
          <w:spacing w:val="0"/>
          <w:kern w:val="21"/>
          <w:sz w:val="32"/>
          <w:szCs w:val="31"/>
          <w:lang w:eastAsia="en-US"/>
        </w:rPr>
      </w:pPr>
      <w:r>
        <w:rPr>
          <w:rFonts w:hint="eastAsia" w:ascii="黑体" w:hAnsi="黑体" w:eastAsia="黑体" w:cs="黑体"/>
          <w:snapToGrid/>
          <w:color w:val="000000"/>
          <w:spacing w:val="0"/>
          <w:kern w:val="21"/>
          <w:sz w:val="32"/>
          <w:szCs w:val="31"/>
          <w:lang w:eastAsia="en-US"/>
        </w:rPr>
        <w:t>四、工作要求</w:t>
      </w:r>
    </w:p>
    <w:p w14:paraId="5B2FF932">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（一）突出问题导向。</w:t>
      </w:r>
      <w:r>
        <w:rPr>
          <w:rFonts w:hint="eastAsia" w:ascii="仿宋_GB2312" w:hAnsi="仿宋_GB2312" w:eastAsia="仿宋_GB2312" w:cs="仿宋_GB2312"/>
          <w:snapToGrid/>
          <w:color w:val="000000"/>
          <w:spacing w:val="0"/>
          <w:kern w:val="21"/>
          <w:sz w:val="32"/>
          <w:szCs w:val="31"/>
          <w:lang w:val="en-US" w:eastAsia="zh-CN" w:bidi="ar-SA"/>
        </w:rPr>
        <w:t>要</w:t>
      </w:r>
      <w:r>
        <w:rPr>
          <w:rFonts w:hint="eastAsia" w:ascii="仿宋_GB2312" w:hAnsi="仿宋_GB2312" w:eastAsia="仿宋_GB2312" w:cs="仿宋_GB2312"/>
          <w:snapToGrid/>
          <w:color w:val="000000"/>
          <w:spacing w:val="0"/>
          <w:kern w:val="21"/>
          <w:sz w:val="32"/>
          <w:szCs w:val="31"/>
          <w:lang w:val="en-US" w:eastAsia="en-US" w:bidi="ar-SA"/>
        </w:rPr>
        <w:t>将项目推进落实中的症结和难点作为督查的靶向点，及时发现问题、交办问题、推动解决问题，并按照“有情况、有问题、有建议”要求，及时汇总督查情况报</w:t>
      </w:r>
      <w:r>
        <w:rPr>
          <w:rFonts w:hint="eastAsia" w:ascii="仿宋_GB2312" w:hAnsi="仿宋_GB2312" w:eastAsia="仿宋_GB2312" w:cs="仿宋_GB2312"/>
          <w:snapToGrid/>
          <w:color w:val="000000"/>
          <w:spacing w:val="0"/>
          <w:kern w:val="21"/>
          <w:sz w:val="32"/>
          <w:szCs w:val="31"/>
          <w:lang w:val="en-US" w:eastAsia="zh-CN" w:bidi="ar-SA"/>
        </w:rPr>
        <w:t>项目联席办</w:t>
      </w:r>
      <w:r>
        <w:rPr>
          <w:rFonts w:hint="eastAsia" w:ascii="仿宋_GB2312" w:hAnsi="仿宋_GB2312" w:eastAsia="仿宋_GB2312" w:cs="仿宋_GB2312"/>
          <w:snapToGrid/>
          <w:color w:val="000000"/>
          <w:spacing w:val="0"/>
          <w:kern w:val="21"/>
          <w:sz w:val="32"/>
          <w:szCs w:val="31"/>
          <w:lang w:val="en-US" w:eastAsia="en-US" w:bidi="ar-SA"/>
        </w:rPr>
        <w:t>汇编工作简报。</w:t>
      </w:r>
    </w:p>
    <w:p w14:paraId="3EF1F2FC">
      <w:pPr>
        <w:keepNext w:val="0"/>
        <w:keepLines w:val="0"/>
        <w:pageBreakBefore w:val="0"/>
        <w:widowControl w:val="0"/>
        <w:kinsoku/>
        <w:wordWrap w:val="0"/>
        <w:overflowPunct/>
        <w:topLinePunct/>
        <w:autoSpaceDE/>
        <w:autoSpaceDN/>
        <w:bidi w:val="0"/>
        <w:adjustRightInd/>
        <w:snapToGrid/>
        <w:spacing w:line="600" w:lineRule="exact"/>
        <w:ind w:left="0" w:leftChars="0" w:right="0" w:firstLine="643" w:firstLineChars="200"/>
        <w:jc w:val="left"/>
        <w:textAlignment w:val="baseline"/>
        <w:rPr>
          <w:rFonts w:hint="default" w:ascii="仿宋_GB2312" w:hAnsi="仿宋_GB2312" w:eastAsia="仿宋_GB2312" w:cs="FangSong_GB2312"/>
          <w:snapToGrid/>
          <w:color w:val="000000"/>
          <w:spacing w:val="0"/>
          <w:kern w:val="21"/>
          <w:sz w:val="32"/>
          <w:szCs w:val="31"/>
          <w:lang w:val="en-US" w:eastAsia="zh-CN" w:bidi="ar-SA"/>
        </w:rPr>
      </w:pPr>
      <w:r>
        <w:rPr>
          <w:rFonts w:hint="eastAsia" w:ascii="华文楷体" w:hAnsi="华文楷体" w:eastAsia="华文楷体" w:cs="华文楷体"/>
          <w:b/>
          <w:bCs/>
          <w:snapToGrid/>
          <w:color w:val="000000"/>
          <w:spacing w:val="0"/>
          <w:kern w:val="21"/>
          <w:sz w:val="32"/>
          <w:szCs w:val="31"/>
          <w:lang w:val="en-US" w:eastAsia="en-US" w:bidi="ar-SA"/>
        </w:rPr>
        <w:t>（二）强化跟踪问效。</w:t>
      </w:r>
      <w:r>
        <w:rPr>
          <w:rFonts w:hint="eastAsia" w:ascii="仿宋_GB2312" w:hAnsi="仿宋_GB2312" w:eastAsia="仿宋_GB2312" w:cs="仿宋_GB2312"/>
          <w:snapToGrid/>
          <w:color w:val="000000"/>
          <w:spacing w:val="0"/>
          <w:kern w:val="21"/>
          <w:sz w:val="32"/>
          <w:szCs w:val="31"/>
          <w:lang w:val="en-US" w:eastAsia="en-US" w:bidi="ar-SA"/>
        </w:rPr>
        <w:t>对督查发现的问题，要跟踪其整改落实情况，</w:t>
      </w:r>
      <w:r>
        <w:rPr>
          <w:rFonts w:hint="eastAsia" w:ascii="仿宋_GB2312" w:hAnsi="仿宋_GB2312" w:eastAsia="仿宋_GB2312" w:cs="仿宋_GB2312"/>
          <w:snapToGrid/>
          <w:color w:val="000000"/>
          <w:spacing w:val="0"/>
          <w:kern w:val="21"/>
          <w:sz w:val="32"/>
          <w:szCs w:val="31"/>
          <w:lang w:val="en-US" w:eastAsia="zh-CN" w:bidi="ar-SA"/>
        </w:rPr>
        <w:t>严格按照督查督办机制程序推进，</w:t>
      </w:r>
      <w:r>
        <w:rPr>
          <w:rFonts w:hint="eastAsia" w:ascii="仿宋_GB2312" w:hAnsi="仿宋_GB2312" w:eastAsia="仿宋_GB2312" w:cs="仿宋_GB2312"/>
          <w:snapToGrid/>
          <w:color w:val="000000"/>
          <w:spacing w:val="0"/>
          <w:kern w:val="21"/>
          <w:sz w:val="32"/>
          <w:szCs w:val="31"/>
          <w:lang w:val="en-US" w:eastAsia="en-US" w:bidi="ar-SA"/>
        </w:rPr>
        <w:t>逐个</w:t>
      </w:r>
      <w:r>
        <w:rPr>
          <w:rFonts w:hint="eastAsia" w:ascii="仿宋_GB2312" w:hAnsi="仿宋_GB2312" w:eastAsia="仿宋_GB2312" w:cs="仿宋_GB2312"/>
          <w:snapToGrid/>
          <w:color w:val="000000"/>
          <w:spacing w:val="0"/>
          <w:kern w:val="21"/>
          <w:sz w:val="32"/>
          <w:szCs w:val="31"/>
          <w:lang w:val="en-US" w:eastAsia="zh-CN" w:bidi="ar-SA"/>
        </w:rPr>
        <w:t>及时</w:t>
      </w:r>
      <w:r>
        <w:rPr>
          <w:rFonts w:hint="eastAsia" w:ascii="仿宋_GB2312" w:hAnsi="仿宋_GB2312" w:eastAsia="仿宋_GB2312" w:cs="仿宋_GB2312"/>
          <w:snapToGrid/>
          <w:color w:val="000000"/>
          <w:spacing w:val="0"/>
          <w:kern w:val="21"/>
          <w:sz w:val="32"/>
          <w:szCs w:val="31"/>
          <w:lang w:val="en-US" w:eastAsia="en-US" w:bidi="ar-SA"/>
        </w:rPr>
        <w:t>销号。对限期整改不到位的</w:t>
      </w:r>
      <w:r>
        <w:rPr>
          <w:rFonts w:hint="eastAsia" w:ascii="仿宋_GB2312" w:hAnsi="仿宋_GB2312" w:eastAsia="仿宋_GB2312" w:cs="仿宋_GB2312"/>
          <w:snapToGrid/>
          <w:color w:val="000000"/>
          <w:spacing w:val="0"/>
          <w:kern w:val="21"/>
          <w:sz w:val="32"/>
          <w:szCs w:val="31"/>
          <w:lang w:val="en-US" w:eastAsia="zh-CN" w:bidi="ar-SA"/>
        </w:rPr>
        <w:t>，</w:t>
      </w:r>
      <w:r>
        <w:rPr>
          <w:rFonts w:hint="eastAsia" w:ascii="仿宋_GB2312" w:hAnsi="仿宋_GB2312" w:eastAsia="仿宋_GB2312" w:cs="仿宋_GB2312"/>
          <w:snapToGrid/>
          <w:color w:val="000000"/>
          <w:spacing w:val="0"/>
          <w:kern w:val="21"/>
          <w:sz w:val="32"/>
          <w:szCs w:val="31"/>
          <w:lang w:val="en-US" w:eastAsia="en-US" w:bidi="ar-SA"/>
        </w:rPr>
        <w:t>纳入重点督查清单，针对性</w:t>
      </w:r>
      <w:r>
        <w:rPr>
          <w:rFonts w:hint="eastAsia" w:ascii="仿宋_GB2312" w:hAnsi="仿宋_GB2312" w:eastAsia="仿宋_GB2312" w:cs="仿宋_GB2312"/>
          <w:snapToGrid/>
          <w:color w:val="000000"/>
          <w:spacing w:val="0"/>
          <w:kern w:val="21"/>
          <w:sz w:val="32"/>
          <w:szCs w:val="31"/>
          <w:lang w:val="en-US" w:eastAsia="zh-CN" w:bidi="ar-SA"/>
        </w:rPr>
        <w:t>开展专项督查。</w:t>
      </w:r>
    </w:p>
    <w:p w14:paraId="7AF4FC50">
      <w:pPr>
        <w:keepNext w:val="0"/>
        <w:keepLines w:val="0"/>
        <w:pageBreakBefore w:val="0"/>
        <w:widowControl w:val="0"/>
        <w:kinsoku w:val="0"/>
        <w:wordWrap w:val="0"/>
        <w:overflowPunct/>
        <w:topLinePunct/>
        <w:autoSpaceDE/>
        <w:autoSpaceDN/>
        <w:bidi w:val="0"/>
        <w:adjustRightInd/>
        <w:snapToGrid/>
        <w:spacing w:line="600" w:lineRule="exact"/>
        <w:ind w:left="0" w:leftChars="0" w:right="0" w:firstLine="643" w:firstLineChars="200"/>
        <w:jc w:val="left"/>
        <w:textAlignment w:val="baseline"/>
        <w:rPr>
          <w:rFonts w:hint="eastAsia" w:ascii="仿宋_GB2312" w:hAnsi="仿宋_GB2312" w:eastAsia="仿宋_GB2312" w:cs="仿宋_GB2312"/>
          <w:snapToGrid/>
          <w:color w:val="000000"/>
          <w:spacing w:val="0"/>
          <w:kern w:val="21"/>
          <w:sz w:val="32"/>
          <w:szCs w:val="31"/>
          <w:lang w:val="en-US" w:eastAsia="en-US" w:bidi="ar-SA"/>
        </w:rPr>
      </w:pPr>
      <w:r>
        <w:rPr>
          <w:rFonts w:hint="eastAsia" w:ascii="华文楷体" w:hAnsi="华文楷体" w:eastAsia="华文楷体" w:cs="华文楷体"/>
          <w:b/>
          <w:bCs/>
          <w:snapToGrid/>
          <w:color w:val="000000"/>
          <w:spacing w:val="0"/>
          <w:kern w:val="21"/>
          <w:sz w:val="32"/>
          <w:szCs w:val="31"/>
          <w:lang w:val="en-US" w:eastAsia="en-US" w:bidi="ar-SA"/>
        </w:rPr>
        <w:t>（三）严格督查纪律。</w:t>
      </w:r>
      <w:r>
        <w:rPr>
          <w:rFonts w:hint="eastAsia" w:ascii="仿宋_GB2312" w:hAnsi="仿宋_GB2312" w:eastAsia="仿宋_GB2312" w:cs="仿宋_GB2312"/>
          <w:snapToGrid/>
          <w:color w:val="000000"/>
          <w:spacing w:val="0"/>
          <w:kern w:val="21"/>
          <w:sz w:val="32"/>
          <w:szCs w:val="31"/>
          <w:lang w:val="en-US" w:eastAsia="zh-CN" w:bidi="ar-SA"/>
        </w:rPr>
        <w:t>督查工作</w:t>
      </w:r>
      <w:r>
        <w:rPr>
          <w:rFonts w:hint="eastAsia" w:ascii="仿宋_GB2312" w:hAnsi="仿宋_GB2312" w:eastAsia="仿宋_GB2312" w:cs="仿宋_GB2312"/>
          <w:snapToGrid/>
          <w:color w:val="000000"/>
          <w:spacing w:val="0"/>
          <w:kern w:val="21"/>
          <w:sz w:val="32"/>
          <w:szCs w:val="31"/>
          <w:lang w:val="en-US" w:eastAsia="en-US" w:bidi="ar-SA"/>
        </w:rPr>
        <w:t>要敢于较真碰硬，严格遵守中央八项规定，不徇私情，不隐瞒事实，不走形式、不走过场，问题要查准，责任要压实，建议要科学</w:t>
      </w:r>
      <w:r>
        <w:rPr>
          <w:rFonts w:hint="eastAsia" w:ascii="仿宋_GB2312" w:hAnsi="仿宋_GB2312" w:eastAsia="仿宋_GB2312" w:cs="仿宋_GB2312"/>
          <w:snapToGrid/>
          <w:color w:val="000000"/>
          <w:spacing w:val="0"/>
          <w:kern w:val="21"/>
          <w:sz w:val="32"/>
          <w:szCs w:val="31"/>
          <w:lang w:val="en-US" w:eastAsia="zh-CN" w:bidi="ar-SA"/>
        </w:rPr>
        <w:t>合理</w:t>
      </w:r>
      <w:r>
        <w:rPr>
          <w:rFonts w:hint="eastAsia" w:ascii="仿宋_GB2312" w:hAnsi="仿宋_GB2312" w:eastAsia="仿宋_GB2312" w:cs="仿宋_GB2312"/>
          <w:snapToGrid/>
          <w:color w:val="000000"/>
          <w:spacing w:val="0"/>
          <w:kern w:val="21"/>
          <w:sz w:val="32"/>
          <w:szCs w:val="31"/>
          <w:lang w:val="en-US" w:eastAsia="en-US" w:bidi="ar-SA"/>
        </w:rPr>
        <w:t>。</w:t>
      </w:r>
    </w:p>
    <w:p w14:paraId="1CC48CF1">
      <w:pPr>
        <w:keepNext w:val="0"/>
        <w:keepLines w:val="0"/>
        <w:pageBreakBefore w:val="0"/>
        <w:widowControl w:val="0"/>
        <w:kinsoku/>
        <w:wordWrap/>
        <w:overflowPunct/>
        <w:autoSpaceDE/>
        <w:autoSpaceDN/>
        <w:bidi w:val="0"/>
        <w:adjustRightInd/>
        <w:snapToGrid/>
        <w:spacing w:line="600" w:lineRule="exact"/>
        <w:ind w:right="0" w:firstLine="680" w:firstLineChars="200"/>
        <w:textAlignment w:val="baseline"/>
        <w:rPr>
          <w:rFonts w:hint="eastAsia" w:ascii="黑体" w:eastAsia="黑体"/>
          <w:sz w:val="34"/>
          <w:szCs w:val="34"/>
        </w:rPr>
      </w:pPr>
    </w:p>
    <w:p w14:paraId="5491C075">
      <w:pPr>
        <w:keepNext w:val="0"/>
        <w:keepLines w:val="0"/>
        <w:pageBreakBefore w:val="0"/>
        <w:widowControl w:val="0"/>
        <w:kinsoku/>
        <w:wordWrap/>
        <w:overflowPunct/>
        <w:autoSpaceDE/>
        <w:autoSpaceDN/>
        <w:bidi w:val="0"/>
        <w:adjustRightInd/>
        <w:snapToGrid/>
        <w:spacing w:line="600" w:lineRule="exact"/>
        <w:ind w:right="0" w:firstLine="680" w:firstLineChars="200"/>
        <w:textAlignment w:val="baseline"/>
        <w:rPr>
          <w:rFonts w:hint="eastAsia" w:ascii="黑体" w:eastAsia="黑体"/>
          <w:sz w:val="34"/>
          <w:szCs w:val="34"/>
        </w:rPr>
        <w:sectPr>
          <w:footerReference r:id="rId8" w:type="first"/>
          <w:footerReference r:id="rId6" w:type="default"/>
          <w:footerReference r:id="rId7" w:type="even"/>
          <w:pgSz w:w="11907" w:h="16840"/>
          <w:pgMar w:top="1587" w:right="1417" w:bottom="1587" w:left="1417" w:header="794" w:footer="1361" w:gutter="0"/>
          <w:pgNumType w:fmt="decimal"/>
          <w:cols w:space="720" w:num="1"/>
          <w:docGrid w:linePitch="285" w:charSpace="0"/>
        </w:sectPr>
      </w:pPr>
    </w:p>
    <w:p w14:paraId="107444DF">
      <w:pPr>
        <w:spacing w:line="540" w:lineRule="exact"/>
        <w:ind w:right="680"/>
        <w:rPr>
          <w:rFonts w:hint="eastAsia" w:ascii="黑体" w:hAnsi="黑体" w:eastAsia="黑体" w:cs="黑体"/>
          <w:snapToGrid/>
          <w:color w:val="000000"/>
          <w:spacing w:val="0"/>
          <w:kern w:val="21"/>
          <w:sz w:val="32"/>
          <w:szCs w:val="31"/>
          <w:lang w:val="en-US" w:eastAsia="zh-CN"/>
        </w:rPr>
      </w:pPr>
      <w:r>
        <w:rPr>
          <w:rFonts w:hint="eastAsia" w:ascii="黑体" w:hAnsi="黑体" w:eastAsia="黑体" w:cs="黑体"/>
          <w:snapToGrid/>
          <w:color w:val="000000"/>
          <w:spacing w:val="0"/>
          <w:kern w:val="21"/>
          <w:sz w:val="32"/>
          <w:szCs w:val="31"/>
          <w:lang w:eastAsia="en-US"/>
        </w:rPr>
        <w:t>附件1</w:t>
      </w:r>
    </w:p>
    <w:p w14:paraId="036E6BF4">
      <w:pPr>
        <w:spacing w:line="540" w:lineRule="exact"/>
        <w:ind w:right="680"/>
        <w:jc w:val="center"/>
        <w:rPr>
          <w:rFonts w:hint="eastAsia" w:ascii="黑体" w:hAnsi="黑体" w:eastAsia="黑体" w:cs="黑体"/>
          <w:snapToGrid/>
          <w:color w:val="000000"/>
          <w:spacing w:val="0"/>
          <w:kern w:val="21"/>
          <w:sz w:val="32"/>
          <w:szCs w:val="31"/>
          <w:lang w:val="en-US" w:eastAsia="zh-CN"/>
        </w:rPr>
      </w:pPr>
      <w:r>
        <w:rPr>
          <w:rFonts w:hint="eastAsia" w:ascii="方正小标宋简体" w:hAnsi="方正小标宋简体" w:eastAsia="方正小标宋简体" w:cs="方正小标宋简体"/>
          <w:snapToGrid/>
          <w:color w:val="000000"/>
          <w:spacing w:val="0"/>
          <w:kern w:val="21"/>
          <w:sz w:val="44"/>
          <w:szCs w:val="44"/>
          <w:lang w:val="en-US" w:eastAsia="zh-CN"/>
        </w:rPr>
        <w:t>2025年进贤县重大重点项目投资计划表</w:t>
      </w:r>
    </w:p>
    <w:tbl>
      <w:tblPr>
        <w:tblStyle w:val="5"/>
        <w:tblW w:w="161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6"/>
        <w:gridCol w:w="495"/>
        <w:gridCol w:w="1020"/>
        <w:gridCol w:w="869"/>
        <w:gridCol w:w="646"/>
        <w:gridCol w:w="795"/>
        <w:gridCol w:w="2324"/>
        <w:gridCol w:w="414"/>
        <w:gridCol w:w="345"/>
        <w:gridCol w:w="720"/>
        <w:gridCol w:w="810"/>
        <w:gridCol w:w="3291"/>
        <w:gridCol w:w="1479"/>
        <w:gridCol w:w="930"/>
        <w:gridCol w:w="831"/>
        <w:gridCol w:w="733"/>
      </w:tblGrid>
      <w:tr w14:paraId="0C21C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1619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5609C4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ascii="黑体" w:hAnsi="宋体" w:eastAsia="黑体" w:cs="黑体"/>
                <w:i w:val="0"/>
                <w:iCs w:val="0"/>
                <w:color w:val="0D0D0D"/>
                <w:sz w:val="18"/>
                <w:szCs w:val="18"/>
                <w:u w:val="none"/>
              </w:rPr>
            </w:pPr>
            <w:r>
              <w:rPr>
                <w:rFonts w:hint="eastAsia" w:ascii="黑体" w:hAnsi="宋体" w:eastAsia="黑体" w:cs="黑体"/>
                <w:i w:val="0"/>
                <w:iCs w:val="0"/>
                <w:color w:val="0D0D0D"/>
                <w:kern w:val="0"/>
                <w:sz w:val="18"/>
                <w:szCs w:val="18"/>
                <w:u w:val="none"/>
                <w:lang w:val="en-US" w:eastAsia="zh-CN" w:bidi="ar"/>
              </w:rPr>
              <w:t>说明：2025年全县重大重点项目共242个（其中市重大重点项目78个，包括省大中型项目32个，市重点推进项目5个），总投资共699.9亿元，2025年度投资209.8亿元。其中：1.制造业领域项目73个【1-70</w:t>
            </w:r>
            <w:r>
              <w:rPr>
                <w:rStyle w:val="11"/>
                <w:sz w:val="18"/>
                <w:szCs w:val="18"/>
                <w:lang w:val="en-US" w:eastAsia="zh-CN" w:bidi="ar"/>
              </w:rPr>
              <w:t>⋕、</w:t>
            </w:r>
            <w:r>
              <w:rPr>
                <w:rStyle w:val="12"/>
                <w:sz w:val="18"/>
                <w:szCs w:val="18"/>
                <w:lang w:val="en-US" w:eastAsia="zh-CN" w:bidi="ar"/>
              </w:rPr>
              <w:t>212、233、242#】，总投资230亿元、年度投资99.4亿元；2.现代服务业领域项目29个【71-99</w:t>
            </w:r>
            <w:r>
              <w:rPr>
                <w:rStyle w:val="11"/>
                <w:sz w:val="18"/>
                <w:szCs w:val="18"/>
                <w:lang w:val="en-US" w:eastAsia="zh-CN" w:bidi="ar"/>
              </w:rPr>
              <w:t>⋕</w:t>
            </w:r>
            <w:r>
              <w:rPr>
                <w:rStyle w:val="12"/>
                <w:sz w:val="18"/>
                <w:szCs w:val="18"/>
                <w:lang w:val="en-US" w:eastAsia="zh-CN" w:bidi="ar"/>
              </w:rPr>
              <w:t>】，总投资204.5亿元，年度投资20.9亿元；3.现代农业领域项目29个【100-127、234</w:t>
            </w:r>
            <w:r>
              <w:rPr>
                <w:rStyle w:val="11"/>
                <w:sz w:val="18"/>
                <w:szCs w:val="18"/>
                <w:lang w:val="en-US" w:eastAsia="zh-CN" w:bidi="ar"/>
              </w:rPr>
              <w:t>⋕</w:t>
            </w:r>
            <w:r>
              <w:rPr>
                <w:rStyle w:val="12"/>
                <w:sz w:val="18"/>
                <w:szCs w:val="18"/>
                <w:lang w:val="en-US" w:eastAsia="zh-CN" w:bidi="ar"/>
              </w:rPr>
              <w:t>】，总投资31.5亿元，年度投资10.4亿元；4.综合交通领域项目5个【128-132</w:t>
            </w:r>
            <w:r>
              <w:rPr>
                <w:rStyle w:val="11"/>
                <w:sz w:val="18"/>
                <w:szCs w:val="18"/>
                <w:lang w:val="en-US" w:eastAsia="zh-CN" w:bidi="ar"/>
              </w:rPr>
              <w:t>⋕</w:t>
            </w:r>
            <w:r>
              <w:rPr>
                <w:rStyle w:val="12"/>
                <w:sz w:val="18"/>
                <w:szCs w:val="18"/>
                <w:lang w:val="en-US" w:eastAsia="zh-CN" w:bidi="ar"/>
              </w:rPr>
              <w:t>】，总投资75.7亿元，年度投资12.8亿元；5.能源领域项目11个【133-137、211、235-239</w:t>
            </w:r>
            <w:r>
              <w:rPr>
                <w:rStyle w:val="11"/>
                <w:sz w:val="18"/>
                <w:szCs w:val="18"/>
                <w:lang w:val="en-US" w:eastAsia="zh-CN" w:bidi="ar"/>
              </w:rPr>
              <w:t>⋕</w:t>
            </w:r>
            <w:r>
              <w:rPr>
                <w:rStyle w:val="12"/>
                <w:sz w:val="18"/>
                <w:szCs w:val="18"/>
                <w:lang w:val="en-US" w:eastAsia="zh-CN" w:bidi="ar"/>
              </w:rPr>
              <w:t>】，总投资21.6亿元，年度投资7.8亿元；6.水利领域项目11个【138-148</w:t>
            </w:r>
            <w:r>
              <w:rPr>
                <w:rStyle w:val="11"/>
                <w:sz w:val="18"/>
                <w:szCs w:val="18"/>
                <w:lang w:val="en-US" w:eastAsia="zh-CN" w:bidi="ar"/>
              </w:rPr>
              <w:t>⋕</w:t>
            </w:r>
            <w:r>
              <w:rPr>
                <w:rStyle w:val="12"/>
                <w:sz w:val="18"/>
                <w:szCs w:val="18"/>
                <w:lang w:val="en-US" w:eastAsia="zh-CN" w:bidi="ar"/>
              </w:rPr>
              <w:t>】，总投资12.4亿元，年度投资2亿元；7.新型基础设施领域项目7个【149-155</w:t>
            </w:r>
            <w:r>
              <w:rPr>
                <w:rStyle w:val="11"/>
                <w:sz w:val="18"/>
                <w:szCs w:val="18"/>
                <w:lang w:val="en-US" w:eastAsia="zh-CN" w:bidi="ar"/>
              </w:rPr>
              <w:t>⋕</w:t>
            </w:r>
            <w:r>
              <w:rPr>
                <w:rStyle w:val="12"/>
                <w:sz w:val="18"/>
                <w:szCs w:val="18"/>
                <w:lang w:val="en-US" w:eastAsia="zh-CN" w:bidi="ar"/>
              </w:rPr>
              <w:t>】，总投资8.0亿元，年度投资3.6亿元；8.城市基础设施领域项目28个【156-182、240</w:t>
            </w:r>
            <w:r>
              <w:rPr>
                <w:rStyle w:val="11"/>
                <w:sz w:val="18"/>
                <w:szCs w:val="18"/>
                <w:lang w:val="en-US" w:eastAsia="zh-CN" w:bidi="ar"/>
              </w:rPr>
              <w:t>⋕</w:t>
            </w:r>
            <w:r>
              <w:rPr>
                <w:rStyle w:val="12"/>
                <w:sz w:val="18"/>
                <w:szCs w:val="18"/>
                <w:lang w:val="en-US" w:eastAsia="zh-CN" w:bidi="ar"/>
              </w:rPr>
              <w:t>】，总投资26.8亿元，年度投资7.8亿元；9.公共服务领域项目30个【183-210、213、240</w:t>
            </w:r>
            <w:r>
              <w:rPr>
                <w:rStyle w:val="11"/>
                <w:sz w:val="18"/>
                <w:szCs w:val="18"/>
                <w:lang w:val="en-US" w:eastAsia="zh-CN" w:bidi="ar"/>
              </w:rPr>
              <w:t>⋕</w:t>
            </w:r>
            <w:r>
              <w:rPr>
                <w:rStyle w:val="12"/>
                <w:sz w:val="18"/>
                <w:szCs w:val="18"/>
                <w:lang w:val="en-US" w:eastAsia="zh-CN" w:bidi="ar"/>
              </w:rPr>
              <w:t>】，总投资57.9亿元，年度投资22.8亿元；10.生态环保领域项目19个【214-232</w:t>
            </w:r>
            <w:r>
              <w:rPr>
                <w:rStyle w:val="11"/>
                <w:sz w:val="18"/>
                <w:szCs w:val="18"/>
                <w:lang w:val="en-US" w:eastAsia="zh-CN" w:bidi="ar"/>
              </w:rPr>
              <w:t>⋕</w:t>
            </w:r>
            <w:r>
              <w:rPr>
                <w:rStyle w:val="12"/>
                <w:sz w:val="18"/>
                <w:szCs w:val="18"/>
                <w:lang w:val="en-US" w:eastAsia="zh-CN" w:bidi="ar"/>
              </w:rPr>
              <w:t>】，总投资31.5亿元，年度投资22.1亿元。</w:t>
            </w:r>
          </w:p>
        </w:tc>
      </w:tr>
      <w:tr w14:paraId="013B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619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4FF9C3B">
            <w:pPr>
              <w:keepNext w:val="0"/>
              <w:keepLines w:val="0"/>
              <w:pageBreakBefore w:val="0"/>
              <w:widowControl w:val="0"/>
              <w:suppressLineNumbers w:val="0"/>
              <w:kinsoku/>
              <w:wordWrap/>
              <w:overflowPunct/>
              <w:topLinePunct w:val="0"/>
              <w:autoSpaceDE/>
              <w:autoSpaceDN/>
              <w:bidi w:val="0"/>
              <w:adjustRightInd/>
              <w:snapToGrid/>
              <w:spacing w:line="220" w:lineRule="exact"/>
              <w:jc w:val="right"/>
              <w:textAlignment w:val="baseline"/>
              <w:rPr>
                <w:rFonts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单位：万元</w:t>
            </w:r>
          </w:p>
        </w:tc>
      </w:tr>
      <w:tr w14:paraId="21D5D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4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2D0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r>
              <w:rPr>
                <w:rFonts w:hint="eastAsia" w:ascii="微软雅黑" w:hAnsi="微软雅黑" w:eastAsia="微软雅黑" w:cs="微软雅黑"/>
                <w:i w:val="0"/>
                <w:iCs w:val="0"/>
                <w:color w:val="0D0D0D"/>
                <w:kern w:val="0"/>
                <w:sz w:val="18"/>
                <w:szCs w:val="18"/>
                <w:u w:val="none"/>
                <w:lang w:val="en-US" w:eastAsia="zh-CN" w:bidi="ar"/>
              </w:rPr>
              <w:t>序号</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3EC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r>
              <w:rPr>
                <w:rFonts w:hint="eastAsia" w:ascii="微软雅黑" w:hAnsi="微软雅黑" w:eastAsia="微软雅黑" w:cs="微软雅黑"/>
                <w:i w:val="0"/>
                <w:iCs w:val="0"/>
                <w:color w:val="0D0D0D"/>
                <w:kern w:val="0"/>
                <w:sz w:val="18"/>
                <w:szCs w:val="18"/>
                <w:u w:val="none"/>
                <w:lang w:val="en-US" w:eastAsia="zh-CN" w:bidi="ar"/>
              </w:rPr>
              <w:t>项目</w:t>
            </w:r>
            <w:r>
              <w:rPr>
                <w:rFonts w:hint="eastAsia" w:ascii="微软雅黑" w:hAnsi="微软雅黑" w:eastAsia="微软雅黑" w:cs="微软雅黑"/>
                <w:i w:val="0"/>
                <w:iCs w:val="0"/>
                <w:color w:val="0D0D0D"/>
                <w:kern w:val="0"/>
                <w:sz w:val="18"/>
                <w:szCs w:val="18"/>
                <w:u w:val="none"/>
                <w:lang w:val="en-US" w:eastAsia="zh-CN" w:bidi="ar"/>
              </w:rPr>
              <w:br w:type="textWrapping"/>
            </w:r>
            <w:r>
              <w:rPr>
                <w:rFonts w:hint="eastAsia" w:ascii="微软雅黑" w:hAnsi="微软雅黑" w:eastAsia="微软雅黑" w:cs="微软雅黑"/>
                <w:i w:val="0"/>
                <w:iCs w:val="0"/>
                <w:color w:val="0D0D0D"/>
                <w:kern w:val="0"/>
                <w:sz w:val="18"/>
                <w:szCs w:val="18"/>
                <w:u w:val="none"/>
                <w:lang w:val="en-US" w:eastAsia="zh-CN" w:bidi="ar"/>
              </w:rPr>
              <w:t>编号</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F61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项目名称</w:t>
            </w:r>
          </w:p>
        </w:tc>
        <w:tc>
          <w:tcPr>
            <w:tcW w:w="8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B24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项目业主</w:t>
            </w: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2EC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责任单位</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CFB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责任县领导</w:t>
            </w:r>
          </w:p>
        </w:tc>
        <w:tc>
          <w:tcPr>
            <w:tcW w:w="2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A09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建设规模及主要建设内容</w:t>
            </w:r>
          </w:p>
        </w:tc>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143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建设性质</w:t>
            </w:r>
          </w:p>
        </w:tc>
        <w:tc>
          <w:tcPr>
            <w:tcW w:w="3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BD0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建设阶段</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5A7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开、竣工时间(年、月)</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C3E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总投资</w:t>
            </w:r>
          </w:p>
        </w:tc>
        <w:tc>
          <w:tcPr>
            <w:tcW w:w="3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5A3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项目进展情况</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4A4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2025年投资计划</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6C3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项目类型</w:t>
            </w:r>
          </w:p>
        </w:tc>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AE1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项目分类（A类、B类）</w:t>
            </w:r>
          </w:p>
        </w:tc>
      </w:tr>
      <w:tr w14:paraId="3F41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812D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050C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98F6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D9E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F4DA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09C2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2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BF7F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833B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EC27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F25D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CA4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3B76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3A4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年度主要建设工程内容和实物工作量</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47B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r>
              <w:rPr>
                <w:rFonts w:hint="eastAsia" w:ascii="微软雅黑" w:hAnsi="微软雅黑" w:eastAsia="微软雅黑" w:cs="微软雅黑"/>
                <w:b/>
                <w:bCs/>
                <w:i w:val="0"/>
                <w:iCs w:val="0"/>
                <w:color w:val="0D0D0D"/>
                <w:kern w:val="0"/>
                <w:sz w:val="18"/>
                <w:szCs w:val="18"/>
                <w:u w:val="none"/>
                <w:lang w:val="en-US" w:eastAsia="zh-CN" w:bidi="ar"/>
              </w:rPr>
              <w:t>投资</w:t>
            </w: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4D5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AF73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r>
      <w:tr w14:paraId="13FC1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098E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0E69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8506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83ED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8163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D2DC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2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12B3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5C1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F9D8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E30A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7451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4B70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7141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D72D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4CFD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057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r>
      <w:tr w14:paraId="33E23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05A1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BE55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i w:val="0"/>
                <w:iCs w:val="0"/>
                <w:color w:val="0D0D0D"/>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F806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C3D5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F3E0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42DD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2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9063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F999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F095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BDD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F2A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3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C6FE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4ADC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0A1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7C70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A23D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微软雅黑" w:hAnsi="微软雅黑" w:eastAsia="微软雅黑" w:cs="微软雅黑"/>
                <w:b/>
                <w:bCs/>
                <w:i w:val="0"/>
                <w:iCs w:val="0"/>
                <w:color w:val="0D0D0D"/>
                <w:sz w:val="18"/>
                <w:szCs w:val="18"/>
                <w:u w:val="none"/>
              </w:rPr>
            </w:pPr>
          </w:p>
        </w:tc>
      </w:tr>
      <w:tr w14:paraId="0FD5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9F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D8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C6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南昌南绕城东延塔城至进贤高速公路新建工程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03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66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FA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7D0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路线全长43.005公里，其中进贤县境内35.869公里。主线设计速度100km/h，路基宽26米的双向四车道高速公路。主要建设内容为路基、沥青路面、桥梁涵洞、排水设施、安防、绿化和服务区建筑等工程。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F0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64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3D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643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611169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A3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1.特许经营方案：已取得省发改</w:t>
            </w:r>
            <w:r>
              <w:rPr>
                <w:rFonts w:hint="eastAsia" w:ascii="宋体" w:hAnsi="宋体" w:cs="宋体"/>
                <w:i w:val="0"/>
                <w:iCs w:val="0"/>
                <w:color w:val="0D0D0D"/>
                <w:kern w:val="0"/>
                <w:sz w:val="18"/>
                <w:szCs w:val="18"/>
                <w:u w:val="none"/>
                <w:lang w:val="en-US" w:eastAsia="zh-CN" w:bidi="ar"/>
              </w:rPr>
              <w:t>委</w:t>
            </w:r>
            <w:r>
              <w:rPr>
                <w:rFonts w:hint="eastAsia" w:ascii="宋体" w:hAnsi="宋体" w:eastAsia="宋体" w:cs="宋体"/>
                <w:i w:val="0"/>
                <w:iCs w:val="0"/>
                <w:color w:val="0D0D0D"/>
                <w:kern w:val="0"/>
                <w:sz w:val="18"/>
                <w:szCs w:val="18"/>
                <w:u w:val="none"/>
                <w:lang w:val="en-US" w:eastAsia="zh-CN" w:bidi="ar"/>
              </w:rPr>
              <w:t>批复。2.特许经营者招标：计划1月中旬前挂网招标。3.用地预审：已报自然资源部联审，计划1月中旬取得用地预审与选址意见书。4.专题报批：已完成压覆矿、地灾、社稳、鄱阳湖银鱼保护区、通航专题；涉铁专题已按评审会意见完成文本修改；青岚湖湿地专题已完成文本编制；已完成涉河建设方案、防洪评价专家评审；环评、水保专题正在编制文本。5.征地拆迁：县相关部门已成立征地拆迁统筹协调、业务指导工作组，前坊镇、七里乡、下埠集镇和民和街道已分别成立征拆工作组；技术机构完成航拍、部分放样、土地现状初步调查等工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F99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完成“三通一平”工作和部分路基、部分桥涵等工程。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9C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7B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17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4BB9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5C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A7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B8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中骏雍景城商业综合体项目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1B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南昌骏景房地产开发有限公司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B5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商务局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64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F8B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项目用地360亩，总建筑面积约65万㎡的街区综合体，集文化、旅游、街区商业等一体。</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B3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98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48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2019.10-2029.09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1C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1F7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三期主体施工中。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16C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三期6栋楼竣工完成。</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B2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3B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08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F2B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79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18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5B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李渡酒业公司国宝李渡酒庄年产1.3万吨基酒技改项目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60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江西李渡酒业有限公司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E9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2A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6D0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项目总用地面积约650亩，总建筑面积约54万平方米。产品方案及规模：项目建成后，可形成年产1.3万吨优质基酒生产规模。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DE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62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A0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2021.10-2025.12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46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D5C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半成品酒库完工；8#陶坛库、9#陶坛库主体完成，室内外装修中；包装车间:主体结构封顶完成，砌体完成至二层。2#食堂:完工；机修车间:工程完成。2#酒库主体结构完成，砌体完成，内抹灰完成40%；5#成品库主体结构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F9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1、包装车间装修完善；2、新建1#酿酒车间及3#酿酒车间（14000平米）建设；3、新建10#陶坛库（待备案）、3#及1#成品库；4、道路管网配套设施。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11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B6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拟报省大中型、市重点推进项目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1F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6A3B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40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CA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5E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进贤医疗器械科技产业园基础设施暨功能平台建设项目（医科园邻里中心项目）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C3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81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42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86A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本项目占地面积32 311. 95 平方，地上建筑面积约78600 m2， 地下面积约15000m2。项目包括人才公寓及片区商业中心两部分， 其中人才公寓建筑 面 积 约 71300m，地下停⻋设施13200m2; 片区商业中心总建筑面积约7300m2，地下停⻋设施1800m2。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0E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BD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47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2023.06-2025.08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C5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490201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79B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1、地下室桩基完成；2、地下室结构完成；3、A#公寓结构封顶完成；4、B#公寓九层模版安装完成，钢筋绑扎80%，混凝土浇筑完成60%；十层模版安装完成，钢筋绑扎30%；5、中央活力区商业二层浇筑完成。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D0A">
            <w:pPr>
              <w:keepNext w:val="0"/>
              <w:keepLines w:val="0"/>
              <w:pageBreakBefore w:val="0"/>
              <w:widowControl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23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1B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B8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A1C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3B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94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11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进贤吾悦广场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90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南昌鸿宸房地产开发有限公司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EA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商务局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30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B5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总用地面积138967.31平方米，总建筑面积约46.43万平方米，其中商业约16.3万方，住宅约30.13万方，项目包含9万平米以上的购物中心（含超市） 、商业街、住宅等。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2B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8F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23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FF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5EC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项目一期、二期、三期3#、5#、6#、7#、8#号楼已竣备，三期15#主体修建至12层，16#、17#已封顶。</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A4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15#、16#、17#楼竣工完成。</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45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26A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B8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D8D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67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24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D7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江西誉信志博信一期项目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5B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江西誉信电子有限公司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9E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25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54B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厂房、办公楼、工人宿舍装修，安装20条线路板生产线。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7A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DD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67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2023.12-2025.10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78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756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正在申请人防验收</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0D3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厂房、办公楼完成装修，电子信息产品生产线完成安装调试</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78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182200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1A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C5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6553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68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45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67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进贤现代农业数字乡村产业园（产业提升）项目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09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进贤县创控农业有限公司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B0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三里乡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44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72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约15000亩，主要建设内容包括：综合服务区、人工育苗厂、工厂化养殖区、养殖示范区、交易市场、物流区、二产区、扩展区、绿色循环发展试点集中连片养殖池塘标准化改造和尾水治理区、打通养殖园区内生产道路、水道开挖、环境整治、建设服务整个养殖区的污水处理站3处、建设配套人才公寓等产业园配套设施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4B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EF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9C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2023.01-2026.12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83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6D3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该项目分多期进行，目前一期已完成75%，二期已完成招投标，暂无用地指标，未开工。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4F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一期全面完成，二期基础完成50%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CC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0D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拟报省大中型、市重点推进项目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29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11E0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AA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39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A0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进贤县文港数智置业有限责任公司南昌进贤文笔数智产业园项目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E2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进贤县文港数智置业有限责任公司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BC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9D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1D4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项目总用地约229.7亩，总建设建筑面积约256923.13平方米，拟建设集“云园区、云物流、云税宝、云人才、云金融、云兑现”于一体的文笔产业数字化平台。</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83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37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1E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2024.04-2025.08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06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33A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厂房已全部封顶。正在开展外墙作业。</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35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完成厂房、配套设施用房建设并投入使用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FE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46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拟报省大中型、市重点推进项目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9F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694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9B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92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8A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江西省医疗器械产业基地（高端医疗器械产业园）建设项目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E1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中交路建进贤建设发展有限公司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9D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97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AE6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项目用地279亩，总建筑面积24万平方米，高端产业园包括健康生产区和科技展示区，包括标准厂房、定制厂房、物流仓储中心、研发创新中心、孵化中心、员工宿舍及停车场等。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AB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8B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C2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2020.06-2025.04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A5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93688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53D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主体完成，正在进行绿化施工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0BF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DC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26C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C7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1ED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C9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F8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F3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2023年进贤县两整治一提升农村公路路面改造工程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6F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DD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B5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6AB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将原有路段水泥路面改造成为沥青路面，部分道路拓宽，共计改造86条公路234.363公里。</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75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DD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68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2023.12-2026.12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0C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78939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CD7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完成工程量的12%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119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完成工程量的12%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CC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12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15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ED5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EF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2D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CB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进贤县人民医院整体搬迁工程(二期)</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C7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进贤城市建设投资发展集团有限公司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85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8C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9B0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建筑面积约42185㎡，主要建设内容包括20层的综合楼，由主楼与裙房组成，建筑面积约28480㎡；5层的感染楼，建筑面积约6600㎡；发热门诊为3层，建筑面积约2340㎡；地下室建面积约4765㎡；一期、二期二次深化装修工程；及其他配套服务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CA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09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22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2022.11-2026.06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11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1AC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主体结构完成100%，外立面完成50%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E69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进行室内外装饰装修完成100%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CB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E0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55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2E9F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C5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55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8A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进贤县大路吴家（前后万）安置房建设项目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E1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A9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          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89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E8C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项目用地96.5亩，总建筑面积20.9万，总户数约1300户。</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1B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DA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5F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2021.03-2025.10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B4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62E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主体结构全面完工，正在进行市政园林景观施工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E80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D6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310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70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2347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F2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93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52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进贤县新能源充电桩建设项目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D3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南昌赣贤新能源有限公司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84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城管局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自然资源局      供电局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EB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D5F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r>
              <w:rPr>
                <w:rFonts w:hint="eastAsia" w:ascii="宋体" w:hAnsi="宋体" w:cs="宋体"/>
                <w:i w:val="0"/>
                <w:iCs w:val="0"/>
                <w:color w:val="0D0D0D"/>
                <w:kern w:val="0"/>
                <w:sz w:val="18"/>
                <w:szCs w:val="18"/>
                <w:u w:val="none"/>
                <w:lang w:val="en-US" w:eastAsia="zh-CN" w:bidi="ar"/>
              </w:rPr>
              <w:t>新能源</w:t>
            </w:r>
            <w:r>
              <w:rPr>
                <w:rFonts w:hint="eastAsia" w:ascii="宋体" w:hAnsi="宋体" w:eastAsia="宋体" w:cs="宋体"/>
                <w:i w:val="0"/>
                <w:iCs w:val="0"/>
                <w:color w:val="0D0D0D"/>
                <w:kern w:val="0"/>
                <w:sz w:val="18"/>
                <w:szCs w:val="18"/>
                <w:u w:val="none"/>
                <w:lang w:val="en-US" w:eastAsia="zh-CN" w:bidi="ar"/>
              </w:rPr>
              <w:t>汽车充电桩约2680根，两轮电瓶车充电桩约8000根，并配套建设供电力设施；购置安装安防监控系统等其他配套设施。该项目分期进行，一期约投资6000万元。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D4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0B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B7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2024.07-2027.10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0B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041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完成3000根充电桩</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29E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完成5000根充电桩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EB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832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00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82B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14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79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F3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进贤县公共卫生应急体系建设项目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D1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73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73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8345">
            <w:pPr>
              <w:keepNext w:val="0"/>
              <w:keepLines w:val="0"/>
              <w:pageBreakBefore w:val="0"/>
              <w:widowControl w:val="0"/>
              <w:suppressLineNumbers w:val="0"/>
              <w:kinsoku/>
              <w:wordWrap/>
              <w:overflowPunct/>
              <w:topLinePunct w:val="0"/>
              <w:autoSpaceDE/>
              <w:autoSpaceDN/>
              <w:bidi w:val="0"/>
              <w:adjustRightInd/>
              <w:snapToGrid/>
              <w:spacing w:line="20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项目用地120亩，总建筑面积87500平方米，主要建设内容包括新建疾病预防控制业务大楼8000平方米、新建妇幼保健门诊大楼和住院大楼22000平方米、新建传染病感染大楼40000平方米，进贤县人民医院总发热病房改造17500平方米，配套给排水、暖通、电气、室外基础配套基础设施、污水处理设施，以及传染病防治设备、消杀设备、通信设备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B2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43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D7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2023.03-2025.06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69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61137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62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疾控精装修、净化、智能化完成82%，室外雨污水完成，污水处理站结构完成；2、妇保土建施工完成，室内桥架、消防、电梯、风管等安装完成，室外雨污水管网完成；3、第二医院消防、通风、电梯、排水等基本安装完成，精装修开槽配管完成52%，精装修完成35%；4、项目外接电，自来水，天然气，网络等急需定方案并进场施工，保证项目的及时交付。</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53A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完成工程建设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19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B4A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37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6C60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49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7F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71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江西普慧能源有限公司进贤县独立共享储能电站建设项目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E0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江西普慧能源有限公司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E8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19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906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44851.2平方米，建设独立共享储能电站，项目容300MW/300MWh，计划分两期建设，系统主要由磷酸铁锂储能电池组、BMS系统、储能变流器、EMS系统、智能交流配电柜、环境控制系统、安防系统、集装箱等组成。</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E2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53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32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6F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FE1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8月20日青苗及地表构筑物补偿协议已全部签署完毕，8月28日，我街道已转出306万元至自规局，待普慧能源转入300余万元尾款完毕，再拨付至征迁户。9月24日北门、五里村委会参加自规局建设听证会。</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AA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完成电站基础设施建设，包括综合楼、电气楼；完成一期升压站建设；完成部分储能电站建设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52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93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9E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063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6E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F1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93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进贤县中医院建设项目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CF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进贤县城投基础设施建设开发有限公司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B9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        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FC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0FB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52127平方米，项目分两期建设，一期总建筑面积86443.29平方米。建设门急诊，医技，住院，行政，保障用房、药剂科，体检中心，康复中心，治未病中心，感染楼，污水处理等相关配套用房，拟打造科室齐全，功能完善的中医院建筑。</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53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0D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54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2021.06-2025.06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BC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DE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正在进行内部装修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1F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3A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2D1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31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64E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0E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8C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D6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江西隆莱生物制药有限公司年产700吨医药原料药建设项目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79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江西隆莱生物制药有限公司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23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DF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BC0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占地面积66700平方米，总建筑面积约44081平方米，建设完成后，可形成年产沙库巴曲缬沙坦钠(P006)550吨、瑞司美替罗(L951-3)100吨、氨基酸(L863-4)35吨、氨基酸(L909-201)15吨生产规模。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52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EC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8C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3C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52222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E4B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正在开展规划设计，骋请环评、安评、能评技术单位。</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74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完成厂房规划、地基工程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FC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AB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19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00C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85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D1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1E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江西万豪塑业公司PLAPBAT全生物降解高分子合成材料项目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F7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江西万豪塑业有限公司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F9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5F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E08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占地面积50亩，总建筑面积6000平方米，项目建成后可形成年产2万吨淀粉基全降解塑料生产规模。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37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52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AA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59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1F4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厂房正在吊装横梁，办公楼修建至三楼</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E5D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完成6000平米厂房建设，并装修完成部分生产线试生产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5A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D9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3D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977C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66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20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B5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江西宝舜医疗科技有限公司医用耗材厂房建设项目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E7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江西宝舜医疗科技有限公司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0B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43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894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项目总用地93.24亩，总建筑面积57294.79㎡，项目建成后，可形成各种规格注射器6亿支/年，各种规格输液器3亿套/年的年产量。</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64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A4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2B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99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5E4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主体施工完成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BC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完成建设5栋厂房和1栋科研楼及1栋设备用房主体建设及装修工程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98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A3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拟报省大中型、市重点推进项目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DC3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DF3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95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58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6C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江西洪达总部经济及医药配送项目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BB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江西洪达集团医疗器械有限公司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17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C7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AE4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项目用地约50亩，建设医疗器械物流仓储平台、数字经济平台、电子辐照灭菌生产车间。</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92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4D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2A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44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BA1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开发区连片方案还在省厅联审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B66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完成部分厂房主体施工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3C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32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8F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5B1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55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42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9F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江西鸿伟钢结构工程有限公司重钢生产加工项目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08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江西鸿伟钢结构工程有限公司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66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FE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14A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项目总用地100亩，总建筑面积54000平方米，，项目建成后，可形成年产10万吨钢结构的生产规模。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49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30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20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DB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E70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5C7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39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AD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60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385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FB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1E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1A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江西坤脉医疗用品有限公司中医诊疗设备与医用耗材项目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7C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江西坤脉医疗用品有限公司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DD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DC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C08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项目总占地80亩项目建成后形成年200万箱智能罐疗仪、智能灸疗仪系列与相关的衍生产品及300万箱防护服、口罩、隔离衣、隔离鞋套、医用帽、手术衣、手术包的生产能力。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1F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D7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D3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2023.09-2025.09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4C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5B3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厂房及办公楼主体及内外墙粉刷已完工，正在办理验收及准备内部装修施工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018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完成厂房内外装饰，并投产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8B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9CB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42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EB5C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59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4A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25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江西新威高分子材料有限公司新材料生产项目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9E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江西新威高分子材料有限公司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2B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3A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1E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项目占地面积55075.4平方米，建筑面积35000平方米，项目建成后形成年加工11万吨再生新材料的产能。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CC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4F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12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65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392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1#、2#车间设备安装调试。</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DC2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完成厂房、配套用房建设，购置设备并投产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80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08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D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467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55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7D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52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江西美美医疗用品有限公司高端敷料等医疗器械制造项目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EC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江西美美医疗有限公司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B6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C6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E2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项目总用地面积60亩，建筑面积45832.24平方米，项目建成后，可形成年产可视喉镜5000套生产规模、检验仪器2000套生产规模、体外诊断产品100万套生产规模等。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AF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41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5E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2023.09-2025.04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62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0B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1#楼已完成主体及墙体砌筑，正在外墙粉刷；2#楼已完成主体建设，正在做内部防水；3#楼正在二层主体结构施工；5#正在进行地面浇筑</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511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完成45396㎡建筑面积1—5#厂房及配套辅助用房建设，并全面投入使用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88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7C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拟报省大中型、市重点推进项目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DB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86A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72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18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2E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南昌泉岭生活垃圾焚烧发电厂扩建预留工程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F9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南昌首创环保能源有限公司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7E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E2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8E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扩建一座日处理600吨的垃圾焚烧发电厂，采用1×600吨/日机械炉排炉型焚烧炉焚烧线，配置20MW汽轮发电机组。</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ED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9C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E1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2025.04-2026.07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20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46983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A35A">
            <w:pPr>
              <w:keepNext w:val="0"/>
              <w:keepLines w:val="0"/>
              <w:pageBreakBefore w:val="0"/>
              <w:widowControl w:val="0"/>
              <w:suppressLineNumbers w:val="0"/>
              <w:kinsoku/>
              <w:wordWrap/>
              <w:overflowPunct/>
              <w:topLinePunct w:val="0"/>
              <w:autoSpaceDE/>
              <w:autoSpaceDN/>
              <w:bidi w:val="0"/>
              <w:adjustRightInd/>
              <w:snapToGrid/>
              <w:spacing w:line="200" w:lineRule="exact"/>
              <w:jc w:val="left"/>
              <w:textAlignment w:val="baseline"/>
              <w:rPr>
                <w:rFonts w:hint="eastAsia" w:ascii="宋体" w:hAnsi="宋体" w:eastAsia="宋体" w:cs="宋体"/>
                <w:i w:val="0"/>
                <w:iCs w:val="0"/>
                <w:color w:val="0D0D0D"/>
                <w:sz w:val="15"/>
                <w:szCs w:val="15"/>
                <w:u w:val="none"/>
              </w:rPr>
            </w:pPr>
            <w:r>
              <w:rPr>
                <w:rFonts w:hint="eastAsia" w:ascii="宋体" w:hAnsi="宋体" w:eastAsia="宋体" w:cs="宋体"/>
                <w:i w:val="0"/>
                <w:iCs w:val="0"/>
                <w:color w:val="0D0D0D"/>
                <w:kern w:val="0"/>
                <w:sz w:val="15"/>
                <w:szCs w:val="15"/>
                <w:u w:val="none"/>
                <w:lang w:val="en-US" w:eastAsia="zh-CN" w:bidi="ar"/>
              </w:rPr>
              <w:t>1.已完成土地证、土地规划许可、项目核准批复、社会稳定风险评估。2.已完成环评报告编制及公示，已报市环保局审批，计划9月26日专家评审，预计10月份获批。3.已完成场地平整、详细勘察、试桩基工程及桩基检测工作。4.EPC招标计划已发布，招标文件编制完成，9月份挂网招标。5.招标代理、职业病评价、造价咨询单位、规划技术审查服务、电力接入系统、安全预评价等采购完成。6.建设规划许可证办理中，已完成规划设计方案审定，预计10月份取证；7.持续开展设计工作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C6E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主厂房及附属构筑物（水泵房、冷却塔等）建设完成90%；设备全部到货，安装完成80%。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23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7B9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1C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39E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D8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AF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AB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南昌荣达五金机电有限公司年产5万套汽车构件项目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A1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进贤荣达五金制品有限公司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BA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A4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FD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项目总占地96172.55平方米，总建筑面积 114984.93平方米，项目建成后,可形成年形成年产5万套汽车构件生产能力。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16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F9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E0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A8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284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7#厂房东面装电梯</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FE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完成厂房建设，购置设备并投产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C6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F5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39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F583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53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67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5E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进贤县历史遗留废弃矿山生态修复项目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9D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进贤城泰建设开发有限公司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F9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自然资源局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2A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C06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涉及进贤县105座历史遗留废弃矿山，涉及图斑259个，总面积5384.8亩，其中砖瓦用粘土矿95座，面积4900.61亩；建筑用花岗岩石矿10座，面积484.19亩；拟通过采取地形地貌重塑工程、截排水工程、道路工程、景观生态修复工程、土壤陪肥工程等方式对待修复区域开展生态恢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8C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7A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CD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2024.11-2026.10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7A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40348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98E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正在做可行性研究报告和初步设计方案</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51C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形地貌重塑工程、截排水工程、道路工程、景观生态修复工程、土壤陪肥工程等方式对待修复区域开展生态恢复214个图斑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D0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9D5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3F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6B0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83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0A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0E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进贤经开区电商产业园标准厂房及配套设施建设项目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18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A0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B6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C6E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项目用地面积约332 亩，总建筑面积约154000 m。 主要建设内容包括新建标准厂房 140000m、食堂2900m°、服務中心3000m、科研中心8000m、门卫100m、停车位区充电桩。配套给排水、电气、消 防、室外基础配套设施及周边道路提升等。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D7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13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E9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CB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46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1#厂房钢柱、钢梁吊装完成，5#厂房钢柱钢梁吊装完成；2#厂房钢柱吊装完成，钢柱系杆安装完成；1#2#4#5#厂房碎石层摊铺完成；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8C1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B2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AA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EE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FEF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2A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32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E1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江西康来环境科技有限公司涂装机器人建设项目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AD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江西康来环境科技有限公司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BC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EB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6FE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项目总用地92.9亩，总建筑面积约43404.21㎡，项目建成后，可形成年产各类涂装机器人1000 套；其他高端装备5000套。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A5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36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1A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2024.11-2025.11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56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34000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90B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1#楼一层浇筑完成、2#楼一层扎钢筋支模，3#厂房正在吊装，4#厂房桩基施工完成。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9D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完成生产车间、配套设施用房建设并投产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9E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62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78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053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00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B9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5B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江西众联装备制造有限公司节能锅炉结构部件生产项目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FB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江西众联装备制造有限公司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EE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CB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CA1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项目总面积66667平方米，总建筑面积77000平方米，项目建成后，形成年产2万吨锅炉结构部件生产能力。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21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2C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A0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47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31712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94D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钢结构厂房屋面横梁安装完成，正在安装屋面瓦。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A9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完成厂房、成品库、行政办公及配套服务用房建房并投产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E2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26712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01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4D0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D918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A9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14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55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进贤县交通枢纽建设项目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3F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2A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4F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30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枢纽建设总用地面积23371.80平方米，总建筑面积35093.68平方米，机动车停车位400个，充电桩60个，建设内容包括土建、装饰、给排水、电气、暖通、消防、智能交通设施设备购置、广告牌及室外相关设施建设；沿线公交站台的建设，包括300个公交站台建设；乡镇客运站维修改造，包括5个乡镇客运站维修改造，共新增停车位827个，充电桩37个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2E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EB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54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40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31161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1A9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正在实施指挥中心正在九层模板安装，内支撑搭设；公交服务中心三层内支撑搭设、配套用房三层模板安装。</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165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完成交通枢纽中心建设、5个乡镇客运场站提升改造、公交站点提升改造、智慧交通建设，项目完工。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7F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16161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6B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3D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13C5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5C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72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10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南昌市进贤县青岚新区污水管网提升改造一期工程（进贤县城镇污水处理设施建设项目）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C1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7E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E5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348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污水管网新建及错混接修复：雨污混接改造117处，开挖修复管道约5.3km，非开挖修复405处，紫外光固化约5.0km，新建DN400-DN1200污水管约13.8km，材质为HDPE缠绕增强管或球墨铸铁管。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5C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44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41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4D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128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0BE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B6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558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AE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820F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36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5F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C7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浏阳市杨家纸业年产40万吨一期再生纸项目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25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浏阳市杨家纸业有限责任公司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6B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99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5BE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租赁现有场地及设备，进行维修改造并配套新建锅炉房、污水处理等设施，形成年10万吨产能。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A0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25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49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CE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FD1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装修施工中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D7E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完成厂房的维修改造并形成40万吨的产能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4C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00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DF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9B4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F8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75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54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南昌高新区进贤产业园综合污水处理厂</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2A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高新合作园</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FE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55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E9F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项目用地65亩，进行污水处理厂及配套设施建设。项目一期完成建设后日处理量为1万吨，项目全部完成后，日处理量为3万吨。</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3F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9D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19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E0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3FC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已在北交所成功竞买中广核100%股权，正在筹备后续资金</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5B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1B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DCD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FD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92A2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A6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3E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D6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进贤县职业技术高级中学新建工程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14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4C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16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04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155.31亩，总建筑面积87602.30㎡，主要建设内容包括1栋六层的图书馆、办公综合楼，3栋五层教学楼、实验楼，1栋二层食堂，4栋六层宿舍楼，风雨连廊，1栋风雨球馆，400米环形跑道及体育看台，室外给排水、室外强弱电、绿化、道路、围墙等室外相关配套设施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2C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1C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B2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E5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166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完成3#5#8#9#楼基础，地下室土方开挖</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DF4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1B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5E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01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884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BF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AE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75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江西金友化工仓储物流园项目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09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江西金友化工有限公司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97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DA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992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项目用地约44.7亩，用于建设化工仓储物流园项目。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49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73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5C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06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B3F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677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完成部分仓储主体施工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1E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33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5D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90A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EF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B2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5C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南昌市进贤县青岚新区污水管网提升改造二期工程（进贤县城镇污水处理设施建设项目）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C3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28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9E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C6E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污水管网新建及错混接修复：雨污混接改造135处，开挖修复管道约5.7km，非开挖修复374处，紫外光固化约5.1km，新建DN400-DN1000污水管约14km，材质为HDPE缠绕增强管或球墨铸铁管。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BB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4B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89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2025.09-2027.02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F0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74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963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22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F876">
            <w:pPr>
              <w:keepNext w:val="0"/>
              <w:keepLines w:val="0"/>
              <w:pageBreakBefore w:val="0"/>
              <w:widowControl w:val="0"/>
              <w:kinsoku/>
              <w:wordWrap/>
              <w:overflowPunct/>
              <w:topLinePunct w:val="0"/>
              <w:autoSpaceDE/>
              <w:autoSpaceDN/>
              <w:bidi w:val="0"/>
              <w:adjustRightInd/>
              <w:snapToGrid/>
              <w:spacing w:line="220" w:lineRule="exact"/>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46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443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47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AA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63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江西省进贤县通用机场项目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72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F3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发改委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EF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0E6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计划建设A1类通用机场，飞行区等级为2B。规划跑道长度1200m（拟增加至1600m）、宽30m，涉及用地约600亩。</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E0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F0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前期谋划</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15D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19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67F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正在前期选址</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5FA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完成前期选址等前期工作</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EC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2CD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11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AFC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43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4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C8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进贤县军山湖联圩涝区排涝能力建设项目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3F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梅庄镇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钟陵镇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池溪镇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三阳集乡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七里乡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下埠集镇</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91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61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44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新建、重建及改造电排站29座，总装机4623kw,新建及原址拆除重建水闸16座，渠道整治35.34km，内涝堤进行修复8.01km，拆除重建机耕桥2座。</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D8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6D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F0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55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28755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05B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改造电排站21座,新建及原址拆除重建水闸10座，渠道整治25km等。</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EF8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改造电排站2座,新建及原址拆除重建水闸2座，渠道整治10km等。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6A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1B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19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A9A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22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EF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CC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进贤县智慧城市建设项目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A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大数据中心</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B7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大数据中心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DD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547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主要建设进贤县智慧交通、智慧政务、智慧城管、智慧管网、智慧园区、智慧环保、智慧工地、智慧农业、智慧社区、智慧公共安全、智慧电力平台以及购置服务器、交换机等相关设备，构建进贤县数字规划及无线网格全覆盖、网格化管理等系统软件、硬件工程等智慧城市基础建设。具体内容为配置服务器63台、网络设备180台、信息存储设备60台、其他数字化设备250台,配置系统软件7套、个人终端软件应用1套等。新增算力资源不低于1000核、内存不低于500GB、存储空间不低于100TB，云机房机柜使用率大于等于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1B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04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750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2025.03-2027.02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0A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26010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1A5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完成了项目设计招标，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进入设计阶段。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8B7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智慧政务、智慧管网、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智慧社区、智慧公共安全四个分项将完成60%以上。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05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D9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C0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27D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D3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88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FB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金汇永磁江西磁性材料科技发展有限责任公司钕铁硼磁钢生产项目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74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金汇永磁（江西）磁性材料科技发展有限责任公司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A8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2C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583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项目一期租赁温圳园一械医疗器械有限公司厂房，租赁面积约6000㎡，建成年产1500~2000吨产能，预计年产值约5亿元，年纳税约1000万元。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35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21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86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DD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FC6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厂房装修中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5A6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DF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75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C9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048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4E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E5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19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进贤县康养中心项目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9E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进贤城市建设投资发展集团有限公司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DA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民政局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A9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97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项目用地约50亩，总建筑面积约36839㎡，主要建设综合楼、失能护理楼、小型医疗楼、食堂、宿舍楼、养老公寓、地下室等配套设施。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AD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50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47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2023.12-2025.12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72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85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主体结构完成50%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FC8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2A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97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0C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7AA7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02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E7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9F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进贤县云桥付家安置房建设项目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F7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城投基础公司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4C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          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38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B5B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本项目总占地面积约18810 ㎡，建设总建筑面积约5.54万㎡（含地下室）的安置房。建设内容主要包括土建、安装、给排水、强弱电、通风、消防及室外配套工程等安置房建设内容。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6A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36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61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2024.07-2026.04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38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A7D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地下室土方外运完成80%，基坑支护完成100%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AF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主体结构完成80%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7F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DB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F1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5794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2D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17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49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进贤县长山中型灌区建设工程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16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84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69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52E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加固整治山塘19座，新建改建泵站4座，新建管道输出1.67km，新建、重建建筑物37座（节制闸28座，机耕桥9座）。</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19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83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50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22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23625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448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完成项目可行性研究</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04E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8C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BB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EE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BB9B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28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7E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89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进贤县军山湖云水间省级休闲农业田园综合体</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D5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进贤县军山湖云水间生态农业发展有限公司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3B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三阳集乡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E2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D66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采摘园区游步道500米建设及主干道路1000米硬化工程；整个景区绿化景观升级工程；装修改造10栋餐饮木屋；宾馆一层、三层楼房间内部装修改造及外观美化更新改造。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CB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39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77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2024.08-2025.12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2D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C77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园区占地面积1500余亩，年产值3000万元。已建有水上餐饮区、住宿区、水上休闲娱乐区、垂钓、自助烧烤、水上拓展区、青少年科普基地、水产养殖、家禽养殖等。</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78F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采摘园区游步道500米建设及主干道路1000米硬化工程；整个景区绿化景观升级工程；装修改造10栋餐饮木屋；宾馆一层、三层楼房间内部装修改造及外观美化更新改造。</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6D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9A1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3C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D80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CF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84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E6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江西沪昌电缆有限公司35KV高低压干式变压器建设项目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C9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江西沪昌电缆有限公司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A3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E6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CE7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项目总用地50亩，总建筑面积25931.33平方米，项目建成后，可形成年产2000吨铜、1000吨铝，高低压干式变压器、电缆线、高低压开关柜、铜绞线、铝绞线等等产品的生产规模。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6B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B0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70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6E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8C5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1#厂房吊装钢结构，2#基础施工中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EC3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完成厂房的建设，并投产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A7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37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61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4DA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94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61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E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进贤县涝区治理（抚东片区）工程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91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CF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0B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CAC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建设涝区排涝泵站26座、水闸16座、渠道整治及配套工程等。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BF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22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CA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2022.11-2025.11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12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22919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599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一标段主体工程基本完成且完成分部工程验收，二标段已经启动抚东堤店头闸拆除重建，正在准备张王庙闸拆除重建，三标段已经签订合同进场施工，启动上埠、柳林、港子口闸的施工。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305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渠道3条，6座排涝站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40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3A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24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68F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8B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5B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82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江西华越钢结构工程有限公司钢结构及配件生产项目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59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江西华越钢结构工程有限公司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61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43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E99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项目总用地面积约46600平方米，总建筑面积31500平方米，项目建成后，形成年产5万吨钢结构及配件的能力。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D0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0B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BF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C0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77D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钢结构厂房屋面瓦铺设完成，正在铺设墙面瓦。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C4A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生产车间、仓库、办公楼等建筑完工，生产线部分投产。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42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B6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E0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2223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8D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0F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3B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江西众瀚筑工建设集团有限公司新建重钢结构件生产项目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AA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江西众瀚筑工建设集团有限公司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64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张公镇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AD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BE8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项目总用地面积47亩，总建筑面积25564.24㎡， 项目建成后，形成年产6万吨重钢结构件生产能力。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54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16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5C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2024.11-2025.10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41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57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钢结构厂房基础承台正在扎钢筋支模，办公楼基础施工完成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1C7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完成厂房、办公楼、食堂、宿舍楼建设，厂房生产线完成投产。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7B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5B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B4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E7D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50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43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66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江西永胜装配式建筑有限公司钢结构加工生产基地项目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A4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江西永胜装配式建筑有限公司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CC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67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A8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项目总用地57亩，总建筑面积34210㎡，项目建成后，可形成年产10万吨各类产品的生产规模。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3B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C8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89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54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85E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钢结构厂房墙面瓦铺设完成，厂房地面硬化完成；办公楼墙体砌筑。</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587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03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0E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EA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2F5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1E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75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25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江西亚细亚科技有限公司医疗防护用品生产项目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E2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江西亚细亚科技有限公司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0E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B7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040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项目占地约57亩，总建筑面积20000平方米，项目建成后，形成年产口罩3000万只、隔离衣200万套、医用防护服套100万套、橡胶检查手套1800万双生产规模。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F1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58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83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48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32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正在编制规划方案</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30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完成厂房的主体建设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AE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B7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DD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E735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2F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7A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00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江西顺泽纸业有限公司纸板及纸箱加工项目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A8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江西顺泽纸业有限公司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F7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架桥镇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泉岭乡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42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1F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项目占地面积50亩，总建筑面积42365.56平方米，项目形成后，可年产20000万平米纸板生产规模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68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65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6A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D2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636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已向自规局申请办理土地使用权证，预计2025年6月办成，2025年8月申请办理企业开工手续，预计2025年10月开工。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B5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完成2栋15000平方米厂房建设，部分设备订购安装，道路硬化、水电气等基础设施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74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56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A7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306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96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90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15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进贤创控滨湖商业街片区开发项目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3B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0C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0C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6C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项目总用地面积21725.00平方米，总建筑面积约45828平方米。主要建设内容包括土建、安装、给排水、强弱电、通风、消防及室外配套工程等。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C7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B1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E4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2025.07-2028.05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81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836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规划设计方案正在报批。</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F1E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 xml:space="preserve"> 地下室底板完成100%。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8B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48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BF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263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3F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57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01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江西省祥恩公司无源植入医疗器械生产及高能辐照灭菌中心项目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17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江西省祥恩医疗科技发展有限公司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52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56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A29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项目总用地面积65亩，总建筑面积42311.7平方米，计划建设1#综合楼、2#宿舍及3#4#5#6#栋厂房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B1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5C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69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5B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441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1#楼地下室基础施工已完成，待工程材料送检后进行回填，待土方回填进行2#3#楼一层主体施工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D19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完成1栋办公楼、1栋宿舍楼、4栋厂房及装修并投入使用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EE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FF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88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296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2B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3D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72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江西国胜钢构轻钢别墅生产线建设项目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55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江西省国胜钢结构有限公司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83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16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05F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项目占地面积约32亩，用于建设年产3万吨轻钢别墅生产线建设项目，本项目拟新建一座厂房，一条钢结构生产线。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E0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96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DD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5D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9E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D4D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C7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2CE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FB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C15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D6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71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6E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江西振坤实业有限公司装配式钢结构建筑材料及不锈钢制品项目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75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江西振坤实业有限公司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6D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5F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A47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总面积约为32亩，总建筑面积19000平方米，项目建成后可形成年产8万吨装配式钢结构建筑材料及不锈钢制品。</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68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80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C8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D5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E99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02D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58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BC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0E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C55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9A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FB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F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南昌方丰纸业年产1.6万吨普通工业纸管、0.6万吨抛光纸管等加工项目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28A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南昌方丰纸业有限公司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50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D0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342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总用地约20亩，主要建设二栋3层钢结构生产车间，建设一栋2层钢结构原料仓库，一栋2层钢结构成品库</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811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D8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11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0D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EE8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正在征地手续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6EF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完成钢结构厂房，原料仓库、成品库主体建设。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17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85B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94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65FF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1F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23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17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江西隆莱生物制药有限公司568吨年医药原料药建设三期项目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02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江西隆莱生物制药有限公司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DF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B1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E7B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项目总建筑面积约43905.57平方米，建筑物占地面积约18698.86平方米，建设完成后，可形成568吨/年医药原料药生产规模。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E2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E3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12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2025.04-2026.05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14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17782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CF8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已完成了规划设计和规划报建，正在办理安评、环评手续。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8C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完成厂房建设和部分设备安装</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9A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C5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DC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1C9B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08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03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9D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江西省万隆实业有限公司一期扩建项目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B7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江西万隆实业有限公司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EC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48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618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项目总用地154.118亩，总建筑面积29276.16平方米，项目建成后，形成年产16万吨钢结构生产能力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12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B5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CF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C0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71E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两栋旧车间已拆除完成。正在住建部门办理施工许可证。</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E69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完成厂房、办公楼、门卫、新增设备用房建设，购置成套加工设备并投产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F5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24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07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A860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9C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AF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03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进贤五星综合市场建设项目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80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FF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2C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17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用地面积为7685.83㎡，建筑层数为地下2层地上7层，总建筑面积约24600㎡，五星级农贸市场摊位经营面积约7400㎡。一层、二层五星期农贸市场板块：三层社区生活板块，四层-七层教培及休闲娱乐版块。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97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AD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1A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64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16550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BC1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B50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AD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22E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6B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E06A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98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70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C2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进贤县文港镇、李渡镇等  13个乡镇污水处理设施扩建、新建工程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BB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李渡镇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罗溪镇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三阳集乡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温圳镇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架桥镇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白圩乡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三里乡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梅庄镇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泉岭乡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池溪镇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下埠集</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张公镇</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F4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F0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4789">
            <w:pPr>
              <w:keepNext w:val="0"/>
              <w:keepLines w:val="0"/>
              <w:pageBreakBefore w:val="0"/>
              <w:widowControl w:val="0"/>
              <w:suppressLineNumbers w:val="0"/>
              <w:kinsoku/>
              <w:wordWrap/>
              <w:overflowPunct/>
              <w:topLinePunct w:val="0"/>
              <w:autoSpaceDE/>
              <w:autoSpaceDN/>
              <w:bidi w:val="0"/>
              <w:adjustRightInd/>
              <w:snapToGrid/>
              <w:spacing w:line="20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文港：为3个片区</w:t>
            </w:r>
            <w:r>
              <w:rPr>
                <w:rFonts w:hint="eastAsia" w:ascii="宋体" w:hAnsi="宋体" w:cs="宋体"/>
                <w:i w:val="0"/>
                <w:iCs w:val="0"/>
                <w:color w:val="0D0D0D"/>
                <w:kern w:val="0"/>
                <w:sz w:val="15"/>
                <w:szCs w:val="15"/>
                <w:u w:val="none"/>
                <w:lang w:val="en-US" w:eastAsia="zh-CN" w:bidi="ar"/>
              </w:rPr>
              <w:t>3</w:t>
            </w:r>
            <w:r>
              <w:rPr>
                <w:rFonts w:hint="eastAsia" w:ascii="宋体" w:hAnsi="宋体" w:eastAsia="宋体" w:cs="宋体"/>
                <w:i w:val="0"/>
                <w:iCs w:val="0"/>
                <w:color w:val="0D0D0D"/>
                <w:kern w:val="0"/>
                <w:sz w:val="15"/>
                <w:szCs w:val="15"/>
                <w:u w:val="none"/>
                <w:lang w:val="en-US" w:eastAsia="zh-CN" w:bidi="ar"/>
              </w:rPr>
              <w:t>期进行，每期建设规模600T/d，共1800T/d。李渡：在原址扩建1000吨污水处理站。长山晏片区新建一座一体化提升泵站。罗溪原集镇污水处理系统管网未全覆盖。三阳集乡新建日处理500吨的生活污水处理站</w:t>
            </w:r>
            <w:r>
              <w:rPr>
                <w:rFonts w:hint="eastAsia" w:ascii="宋体" w:hAnsi="宋体" w:cs="宋体"/>
                <w:i w:val="0"/>
                <w:iCs w:val="0"/>
                <w:color w:val="0D0D0D"/>
                <w:kern w:val="0"/>
                <w:sz w:val="15"/>
                <w:szCs w:val="15"/>
                <w:u w:val="none"/>
                <w:lang w:val="en-US" w:eastAsia="zh-CN" w:bidi="ar"/>
              </w:rPr>
              <w:t>。</w:t>
            </w:r>
            <w:r>
              <w:rPr>
                <w:rFonts w:hint="eastAsia" w:ascii="宋体" w:hAnsi="宋体" w:eastAsia="宋体" w:cs="宋体"/>
                <w:i w:val="0"/>
                <w:iCs w:val="0"/>
                <w:color w:val="0D0D0D"/>
                <w:kern w:val="0"/>
                <w:sz w:val="15"/>
                <w:szCs w:val="15"/>
                <w:u w:val="none"/>
                <w:lang w:val="en-US" w:eastAsia="zh-CN" w:bidi="ar"/>
              </w:rPr>
              <w:t>温圳扩容至1000顿。架桥集镇管网实行升改造、雨污分流。 白圩升级改造。 三里乡改扩建终端设施及管网。梅庄镇集镇主干道长度约7公里，铺设400波纹管及配套设施等；泉岭乡原集镇污水处理系统管网未全覆盖</w:t>
            </w:r>
            <w:r>
              <w:rPr>
                <w:rFonts w:hint="eastAsia" w:ascii="宋体" w:hAnsi="宋体" w:cs="宋体"/>
                <w:i w:val="0"/>
                <w:iCs w:val="0"/>
                <w:color w:val="0D0D0D"/>
                <w:kern w:val="0"/>
                <w:sz w:val="15"/>
                <w:szCs w:val="15"/>
                <w:u w:val="none"/>
                <w:lang w:val="en-US" w:eastAsia="zh-CN" w:bidi="ar"/>
              </w:rPr>
              <w:t>。</w:t>
            </w:r>
            <w:r>
              <w:rPr>
                <w:rFonts w:hint="eastAsia" w:ascii="宋体" w:hAnsi="宋体" w:eastAsia="宋体" w:cs="宋体"/>
                <w:i w:val="0"/>
                <w:iCs w:val="0"/>
                <w:color w:val="0D0D0D"/>
                <w:kern w:val="0"/>
                <w:sz w:val="15"/>
                <w:szCs w:val="15"/>
                <w:u w:val="none"/>
                <w:lang w:val="en-US" w:eastAsia="zh-CN" w:bidi="ar"/>
              </w:rPr>
              <w:t>池溪镇：南台社区铺设管道污水管网、管道、检查井等；池溪铺设管道污水管网、检查井等；下埠集：完善原衙前乡污水管网，持续运行处理设施；提升下埠集镇污水管网，持续运行处理设施。张公：集镇区域管网实行升级改造、雨污分流。</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61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850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DF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2025.12-2027.12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C8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16477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05A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立项中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77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完成可研、初设批复等前期相关手续并开工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7B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13526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8FA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4F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6259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EA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A0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9F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进贤县医疗卫生系统信息化建设项目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E8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24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D1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504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进贤县卫生健康委员会：医共体综合平台，全民健康数字底座，卫生云平台。</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进贤县人民医院，进贤县中医院：互联互通四级甲等，电子病历5级，信息管理升级。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进贤县妇幼保健院：互联互通四级甲等，电子病历4级。</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4B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84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6A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01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C58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1、医共体软件服务器硬件上架完成，交付专家已完成软件部署；2、与人民医院、中医院系统厂商进行谈判，已完成人民医院对接；3、与全民平台完成端口脚本对接；4、医院信息软件实施进展进度50%。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807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91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49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DE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487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A0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D6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FB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康华卫材公司年产神经监护插管24万只超滑导尿管240万只项目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0C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南昌市康华卫材有限公司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84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04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D85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总占地面积约21.7亩，总建筑面积20000㎡，项目建成后，可形成年产24万只神经监护气管插、240万只超滑导尿管的生产规模。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53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21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BB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DC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A01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开发区连片方案还在省厅联审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3BF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6F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EE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A1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A27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E6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27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A4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江西海富通实业有限公司肉食品加工建设项目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53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江西海富通实业有限公司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8F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59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CFE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项目总占地面积45.6亩，总建筑面积 28174平方米，项目建成后，形成年产肠衣250万把的生产能力。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15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BB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3E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2023.05-2025.05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B2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5C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已完成办公楼及厂房装修施工95%及完成厂区内市政道路及管网铺设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32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完成办公楼装修并投产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39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F6E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1A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B09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DD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F1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E2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江西赣兴管业科技有限公司年产360万米管材、6000套电力成套设备</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07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江西赣兴管业有限公司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11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41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7F6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项目总用地面积为48.05亩，总建筑面积为39498.40平方米，项目建成后达到年产360万米管材、6000套电力成套设备。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F0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C1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89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2024.07-2025.10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4F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030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厂房主体已完成，厂房内部排水管施工中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137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完成生产厂房、仓库、配套设施用房、门卫值班室建设，购置设备并投产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27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11008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44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39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8B49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53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8E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F5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江西省台辰新材料有限公司新建厂房项目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0D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江西省台辰新材料有限公司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17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3C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277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总用地约50亩，总建筑面积33000平方米，1#生产车间建筑面积12000平方米，2#生产车间建筑面积11500平方米。配套设施用房9500平方米。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42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A9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57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2025.05-2026.05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FB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3AA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方案已通过第三方审查，目前正在根据意见进行补充完善</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9E9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完成厂房建设及部分设备安装</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D9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C0E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A9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7B67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53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90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B8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进贤县罗岭体育公园建设工程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7A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进贤城泰建设开发有限公司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11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40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76B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罗岭体育公园主要建设内容及规模：1、市政设施：道路摊铺、给水工程、污水工程、海绵城市系统及喷灌系统。2、体育设施：建设篮球场2处，羽毛球场3处、标准足球场1处，五人制足球场2处，小型健身游步道约3千米，以及相关附属设施。3、照明工程：照明灯具、变压器及配套线路等。4、弱电工程：主要包括监控系统、操作台、停车场管理系统及智能道闸等。5、停车位：设置约550个。6、广告牌：设计广告牌470个。7、充电桩：设置充电桩200个。8、观光游览车：采购观光游览车12辆。9、其它配套工程：包括公园内部道路建设，骑行道、游步道等相关工程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85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9E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8D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83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A96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489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完成前期手续的办理及地形整理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E8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101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A0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5AA0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E0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BE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01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江西双龙消防器材有限公司二氧化碳智能灭火装置生产线项目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DD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江西双龙消防器材有限公司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74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8C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4C7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项目总用地29亩，总建筑面积12000㎡，项目建成后，可形成年产100万套智能灭火装置的生产规模。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C0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D2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65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45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53F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83E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70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89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A5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05D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F4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9C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22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进贤县外青岚湖水流域上游排水渠重点区域水污染综合治理项目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DC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进贤县创控水业有限公司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D8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生态环境局           国投公司</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泉岭乡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01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375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分两期建设，总处理水体约733500m³/d，建设人工湿地约220000m2。其中：一期建设地址在罗坊张家附近，处理水体约40000m³/d，建设人工湿地约120000㎡。二期建设地址在魏家闸附近及东湖头附近，处理水体约33500m³/d，建设人工湿地约100000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34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03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80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31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059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项目分两期进行，一期已完工，二期正在进行清表等待架桥和罗溪提供施工场地。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03B5">
            <w:pPr>
              <w:keepNext w:val="0"/>
              <w:keepLines w:val="0"/>
              <w:pageBreakBefore w:val="0"/>
              <w:widowControl w:val="0"/>
              <w:suppressLineNumbers w:val="0"/>
              <w:kinsoku/>
              <w:wordWrap/>
              <w:overflowPunct/>
              <w:topLinePunct w:val="0"/>
              <w:autoSpaceDE/>
              <w:autoSpaceDN/>
              <w:bidi w:val="0"/>
              <w:adjustRightInd/>
              <w:snapToGrid/>
              <w:spacing w:line="18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一期完成一体化水体提升泵站及配套管网建设、两套一体化预处理设施建设、建设人工湿地 、生态浮岛、清淤、配套污泥处理设施。二期完成一体化水体提升泵站及配套管网建设、两套一体化预处理设施建设、建设人工湿地、清淤、配套污泥处理设施。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F40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95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18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C47D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C4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DF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12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上海箴德文化科技有限公司美术画材用品生产项目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2C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上海箴德文化科技有限公司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9E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43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582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 29.86 亩。</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DC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559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33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AF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604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已签约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100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完成厂房基础施工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E2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47D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50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F9A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19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6E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F4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进贤县2025老旧小区改造工程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B9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BA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DE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807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主要涉及10个小区共252栋房屋,6698户居民，约61.40万平方米的老旧小区改造工程。主要建设内容包含：违章拆除、建筑雨污水立管、管线下地及规整、路灯照明、四网合一、安防监控、新建雨污水管网、新建给水管网、化粪池改造、屋面防水、楼道整治、道路加铺沥青罩面（白改黑）、人行道改造、广场铺装改造、社区入口标识、健身设施、儿童娱乐设施、机动车停车位划线、非机动车停车棚、文化景墙、外立面改造、机动车充电桩及非机动车充电设施、广告牌、宣传栏等其他配套服务功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CF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B5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86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9D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13396</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0CA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进行前期项目谋划，计划年底前完成前期项目手续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9B0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违章拆除、建筑雨污水立管、管线下地及规整、路灯照明、四网合一、安防监控、新建雨污水管网、新建给水管网、化粪池改造、屋面防水、楼道整治、道路加铺沥青罩面（白改黑）、人行道改造、广场铺装改造、社区入口标识、健身设施、儿童娱乐设施、机动车停车位划线、非机动车停车棚、文化景墙、外立面改造、机动车充电桩及非机动车充电设施、广告牌、宣传栏等其他配套服务功能所有工程量的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BA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A9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5F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11F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FB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07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09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进贤县2024年老旧小区改造工程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4F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城投基础公司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50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A7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4F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主要涉及9个小区共197栋房屋,4368户居民，约41.77万平方米的老旧小区改造工程。主要建设内容包含：违章拆除、建筑雨污水立管、管线下地及规整、路灯照明、四网合一、安防监控、新建雨污水管网、新建给水管网、化粪池改造、屋面防水、楼道整治、道路加铺沥青罩面（白改黑）、儿童娱乐设施、机动车停车位划线、非机动车停车棚、文化景墙、外立面改造、机动车充电桩及非机动车充电设施、广告牌、宣传栏等其他配套服务功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C7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7D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F8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2024.07-2025.06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36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B4A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完成总工程量的5%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783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8E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59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拟报省大中型、市重大重点项目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97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143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FA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AC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4B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中交路建进贤建设发展有限公司进贤国际医疗器械会议中心及商务酒店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1E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中交路建进贤建设发展有限公司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36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42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0E4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项目用地约74 亩， 总建筑面积约4.32万平方米，地下建筑面积5678.25平方米。项目建成后形成以会展为龙头，集展览、博览、会议、信息、商贸、休闲为一体的现代化展览博览中心。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7C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1D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47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2022.05-2025.04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E2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42D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酒店内部装修完成吊顶、内墙粉刷、木地板及门安装，正在进行灯及家具安装；附属楼会议中心正在进行智能化施工，入驻运营单位正在已装修完成80%；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714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7D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677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7B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6960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59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20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5E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南昌市进贤县城区供水管网漏损治理改造工程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89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江西省进贤润泉供水有限公司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72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33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411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1.更新改造中山大道中路、岚湖路等市政道路的供水管，DN150-200管道长约4.8公里，DN300-400管道长约15.3公里，DN500-600管道长约21.4公里，DN800管道长约6.3公里，材质为球墨铸铁。2.对新贤城、豪景一品、佑华小区等小区供水管网及设施进行改造，包括DN100-DN200庭院管线共计20公里。3.搭建供水管网及设施运行管理信息化平台，安装新建压力感知设备、流量感知设备等物联智能感知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D5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BB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8F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EB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12659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D8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97D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82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0A5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53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310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FB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89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3F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南昌友拓实业有限公司年产5000吨预应力钢丝生产项目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A5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南昌友拓实业有限公司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72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F2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AE4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项目总用地面积3406.19㎡，建设车间及配套设施2000㎡，购置并安装有关设备31台套，项目建成后可形成年产工模具钢丝5000吨</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99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53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03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4D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F06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950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7B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0B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5D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2B45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93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D6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25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进贤县安赐体育用品有限公司体育用品生产项目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80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进贤县安赐体育用品有限公司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4A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CB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1BD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项目总占地面积1855平方米，总建筑面积3000平方米，项目建成后，形成年产1000万只的生产能力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CE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05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D3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99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BD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土地证已办结</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8B0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58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6E0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D4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21F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3F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17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F1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进贤产业园充电桩等项目建设</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8C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进贤经开区工业投资发展有限公司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C8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F6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2B8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本项目主要建设进贤经济开发区（高新园、温圳园、医科园）新能源</w:t>
            </w:r>
            <w:r>
              <w:rPr>
                <w:rFonts w:hint="eastAsia" w:ascii="宋体" w:hAnsi="宋体" w:cs="宋体"/>
                <w:i w:val="0"/>
                <w:iCs w:val="0"/>
                <w:color w:val="0D0D0D"/>
                <w:kern w:val="0"/>
                <w:sz w:val="18"/>
                <w:szCs w:val="18"/>
                <w:u w:val="none"/>
                <w:lang w:val="en-US" w:eastAsia="zh-CN" w:bidi="ar"/>
              </w:rPr>
              <w:t>汽车</w:t>
            </w:r>
            <w:r>
              <w:rPr>
                <w:rFonts w:hint="eastAsia" w:ascii="宋体" w:hAnsi="宋体" w:eastAsia="宋体" w:cs="宋体"/>
                <w:i w:val="0"/>
                <w:iCs w:val="0"/>
                <w:color w:val="0D0D0D"/>
                <w:kern w:val="0"/>
                <w:sz w:val="18"/>
                <w:szCs w:val="18"/>
                <w:u w:val="none"/>
                <w:lang w:val="en-US" w:eastAsia="zh-CN" w:bidi="ar"/>
              </w:rPr>
              <w:t>充电桩，其中新建电动汽车充电桩约1236根，两轮电瓶车充电桩约4200根，并配套建设电力设施；购置安装安防监控系统等其他配套设施。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6D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8A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0E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D2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B0C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正在陆续安装，高新园目前已完成部分安装</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561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安装完成并投入使用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D7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C8A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5E0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B62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07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E8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37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江西择高医疗科技有限公司新建疼痛康复产品生产项目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41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江西择高医疗科技有限公司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60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F20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7C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总面积23亩，总建筑面积24336平方米。项目建成后，可形成年产1亿元疼痛康复产品的生产规模。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9E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59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01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AD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3DD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2#厂房正负零施工及1#楼地下室施工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533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完成建设2栋建筑面积24286平方米厂房主体建设及装修并投入使用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0C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3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BC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93D8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B0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EA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AE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南昌浮游岭农旅发展有限公司农业及乡村旅游开发项目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EB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南昌浮游岭农旅发展有限公司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8F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3A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39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项目总占地面积122亩，其中吴坊村西房河树坑山地占地面积63亩，规划开发建设乡村休闲旅游山庄；吴坊村美人洲占地面积59亩，规划开发建设农业生态园。</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3F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98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38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2023.01-2027.12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B7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C9B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办公大楼外部装修中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992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因土地使用许可问题，25年建设内容待定</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15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21D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88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BBD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32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36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84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进贤县钟陵乡综合农业开发项目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BB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进贤县农经产业发展集团有限公司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0E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钟陵镇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CF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6C5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对总规划用地面积约500亩进行综合农业开发建设，主要建设内容为：连栋薄膜温室、生姜大田、服务配套区、锦鲤养殖区及其他相关配套设施等。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62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4B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DA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A3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DD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土方已回填完成，大棚完成5%，配套设施已完成1%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2C6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完成大棚、配套用房建设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28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F7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E8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74E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24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CF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D8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江西荣通路桥工程有限公司总部基地建设项目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D3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江西荣通路桥工程有限公司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F1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架桥镇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C6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F21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35亩，其中建筑装配模板生产及盘扣厂房一栋,占地面积约5亩，钢筋网片及隔离栅生产厂房一栋,占地面积约3亩，机械设备维修厂房及仓库一栋,占地面积约2亩，综合办公楼一栋,占地面积约3亩，科研及技工培训楼一栋,占地面积约2亩，大型建筑机械设备停放区,占地面积约2亩，厂区公共道路及绿化,占地面积约18亩。</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8C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BC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67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2025.11-2027.02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BA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14C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已完成项目规划、正在办理用地手续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C6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完成土地平整及地基基础工程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F1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86E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18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56C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6F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CE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AD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南昌同裕生物工程有限公司饲料添加剂及动物保健品生产加工项目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D2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南昌同裕生物工程有限公司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16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BD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8BA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项目用地30亩，总建筑面积15000平方米，项目建成后，形成年产3000吨饲料添加剂，1000万支自动化生产兽用注射液，1000万支自动化生产兽医注射用粉针剂，3000吨兽用粉剂、散剂、预混剂的生产规模。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EE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CE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62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13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02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正在根据质监意见进行现场整改</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CD1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完成生产车间、综合楼、辅助用房建设，购置自动化生产线并投产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64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B2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27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6D14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65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0D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1B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江西乐然建设实业有限公司幕墙及光能玻璃加工项目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6E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江西乐然建设实业有限公司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5A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A1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97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项目总用地50亩，总建筑面积33000平米，购置节能玻璃加工设备共计33台/套，项目建成后，可形成年加工45万平方米节能钢化玻璃生产能力。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6E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78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E2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CF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D5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F10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完成生产车间建设并投产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76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31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8D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4A2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57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C9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A1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江西特乐特铝业有限公司新建年产2万吨铝型材项目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0D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江西特乐特铝业有限公司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E3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F7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B10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项目总面积20000平方米，总建筑面积15910.31平方，项目建成后可形成年产2万吨铝型材项目。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E3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7E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94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10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D91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办公楼基础施工完成，厂房钢结构正在吊装横梁</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8AA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完成生产用房、配套用房建设并投入使用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0B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2F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9E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94A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F1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FB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13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江西尚尧精密制造有限公司新建汽车夹具检具等生产项目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43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江西尚尧精密制造有限公司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46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B0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D7E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项目总占地面积20385.44㎡，总建筑面积约10222.67㎡，项目建成后，形成年生产3380台(套)的汽车工装夹具（检具）、模具等装备生产能力。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A4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96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83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2024.03-2025.05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A0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764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1号车间已投产，2号车间正在安装设备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7A5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完成厂房及门卫建设并投产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B3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D4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4A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0E81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C5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85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5D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江西三之鑫钢结构有限公司新建生产钢结构及配件项目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6A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江西三之鑫钢结构有限公司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B0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5E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CA4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项目总用地面积10324.71平方米，总建筑面积8593.58平方米，项目建成后，形成年产3万吨钢结构及配件的能力。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42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0D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A9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2024.08-2025.08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AF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79F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基础施工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8BC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完成两条重钢生产线建设并投产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56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D6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92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E867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2C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D0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10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江西凌博建设有限公司岩棉复合板建设项目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18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江西凌博建设有限公司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1C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46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471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项目总用地30.609亩，总建筑面积15373.86㎡，项目建成后，可形成年产100万平米岩棉复合板的生产规模。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DA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D9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B5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2024.03-2025.05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D4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680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设备安装调试</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D8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完成钢结构厂房、办公楼及8条生产线建设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0E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AE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A7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555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09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49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15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世纪联保消防新技术（江西）有限公司汽车自动灭火设备生产项目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A3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世纪联保消防新技术（江西）有限公司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B0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68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4C9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项目总占地面积44亩，总建筑面积18500平米，项目建成后，年产可达100万具汽车自动灭火设备生产规模。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39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CF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84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79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A19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开发区连片方案正在省厅联审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C65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46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37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B8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CC09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DD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EE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96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南昌德正实业有限公司年产1000吨EPS塑料包装材料项目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5A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南昌德正实业有限公司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BA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泉岭乡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6A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37A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项目总用地50亩，总建筑面积 39693.74平方米，项目建成后，可形成年产1000吨EPS塑料包装的生产规模。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E4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02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4F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1F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22C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已向自规局申请办理土地使用权证，预计2025年6月办成，2025年8月申请办理企业开工手续，预计2025年10月开工。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C60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96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70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46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132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A3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B5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71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进贤县生态绿色分拣处理中心项目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B9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进贤县供销合作社联合社</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96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供销社</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AD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E23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包含进贤县县城大型分拣中心及21个乡镇小型分拣中心建设；21个乡镇小型分拣中心分布于进贤县辖21个乡镇已有用房，本次对其进行提升改造。建设废弃物分拣项目，项目拟购置行业先进自动化固废抓取分选线、全自动破碎机、卧式液压打包机、木材粉碎机、旧家电分解流水线等行业自动化生产设备及其辅助配套设施等国产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A00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29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F7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2025.02-2027.02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DD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60D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筹备阶段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F8D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完成分拣处理中心项目建设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6E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D89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26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69B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0D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FB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5E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进贤县2024老旧小区改造增补工程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2C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2A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F7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69C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包含七个社区，涉及18个小区（区域），总共涉及161栋房屋，2980户居民。主要建设内容包含：违章拆除、建筑雨污水立管、管线下地及规整、路灯照明、四网合一、安防监控、新建雨污水管网、新建给水管网、化粪池改造、屋面防水、楼道整治、道路加铺沥青罩面（白改黑）、人行道改造、广场铺装改造、社区入口标识、健身设施、儿童娱乐设施、机动车停车位划线、非机动车停车棚、文化景墙、外立面改造、机动车充电桩及非机动车充电设施、广告牌、宣传栏等其他配套服务功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54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FB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75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96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9075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D6D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进行前期项目谋划，计划年底前完成前期项目手续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3B3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违章拆除、建筑雨污水立管、管线下地及规整、路灯照明、四网合一、安防监控、新建雨污水管网、新建给水管网、化粪池改造、屋面防水、楼道整治、道路加铺沥青罩面（白改黑）、人行道改造、广场铺装改造、社区入口标识、健身设施、儿童娱乐设施、机动车停车位划线、非机动车停车棚、文化景墙、外立面改造、机动车充电桩及非机动车充电设施、广告牌、宣传栏等其他配套服务功能。（需要设计进行工程量明确）</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1A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9075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F9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F4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C4FD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66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41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B4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南昌市宝鑫机械医疗用品生产项目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76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南昌市宝鑫医疗机械有限公司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19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商务局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泉岭乡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8D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4A4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项目总用地17.5亩，总建筑面积16000平米，购置生产加工设备2台，主要建设内容：生产车间。</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3A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0F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EA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9D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3C7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已编制平面规划图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A73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完成生产车间建设并投产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04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48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A2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A32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27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FE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D4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进贤县2025年度统筹整合资金推进高标准农田建设项目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7A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67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E4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9C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建设规模2.8万亩。其中新建1.1万亩、改造提升1.7万亩。主要建设内容包括土地平整、土壤改良、灌溉与排水、田间道路、农田防护与生态环境保持、农田输配电等。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C6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B8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4F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E4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8400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25F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正在编制项目设计文本</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E0F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完成土地平整、灌排沟渠建设、田间道路和田埂修筑，桥涵管闸等建筑物配套工程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8B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8F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82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F8E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2B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55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46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进贤县第一中学(高中)综合楼及学生宿舍新建项目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E4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一中</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8D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            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BC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BA2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项目总建筑面积 26246.05平方米;其中综合楼建筑面积 9986.49 平方米，宿舍楼建筑面积 15138.63 平方米，地下室建筑面积 1120.93 平方米。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28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5D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2F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2025.07-2026.07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E3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8400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DD1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办理建设手续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BB8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建筑主体完成80%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B20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997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0D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FE8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3A9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7F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FF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江西赣达牧业旱养蛋鸭养殖基地一期项目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DC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江西赣达牧业有限公司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8E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46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47B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江西赣达牧业公司计划在捉牛岗（原捉牛岗国营猪场），主要用于基础设施，养殖大棚20栋。一期旱养蛋鸭100万羽，带动促进困难群众就业80余人，年产值5千万。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14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08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42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33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441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已完成土地平整，并搭建养殖大棚20栋</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44C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进行土地平整，搭建养殖大棚20栋，旱养蛋鸭100万羽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E8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8AB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D3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209F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C2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65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25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新能源物流仓储一体化项目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58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江西胜兴物流有限公司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AA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1D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4C4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项目总占地面积约50亩，主要建设内容包括：新能源货车充电桩40个、冷库1个、仓库2个、办公楼1栋、机动车停车位45个及物流项目配套设施建设。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3D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3E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5D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0C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5B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正在做规划设计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091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安装新能源货车充电桩40个</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8E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7FDA">
            <w:pPr>
              <w:keepNext w:val="0"/>
              <w:keepLines w:val="0"/>
              <w:pageBreakBefore w:val="0"/>
              <w:widowControl w:val="0"/>
              <w:kinsoku/>
              <w:wordWrap/>
              <w:overflowPunct/>
              <w:topLinePunct w:val="0"/>
              <w:autoSpaceDE/>
              <w:autoSpaceDN/>
              <w:bidi w:val="0"/>
              <w:adjustRightInd/>
              <w:snapToGrid/>
              <w:spacing w:line="220" w:lineRule="exact"/>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8C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E97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E8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2B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56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进贤县钟陵乡粮食仓储物流设施建设项目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7D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农经集团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BB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粮食保障中心</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农经集团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钟陵乡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F8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010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14618.36㎡，总建筑面积8631㎡。主要建设内容包括平房仓、仓库罩棚、仓库罩棚、综合楼、辅助用房、消防水池、药品库等建、构筑物建设，配套的给排水、消防、强弱电、暖通、工艺设备及室外道路、硬化、绿地、围墙、土方工程、综合管线等室外基础配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A7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5B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D1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06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7239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980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目前已完成项目立项和可行性研究报告的批复</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43A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完成平房仓、仓库罩棚、道路及室外基础配套建设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8A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7039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08E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D7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244D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6C3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0C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6B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温圳镇东岗杨徐庄村拆迁安置房工程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BF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15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F4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50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项目用地60亩，总建筑面积3.8万平方米，安置房44栋及实践文明中心，建安工程及相关基础配套设施。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A4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E0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DE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08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0AB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安置房44栋88户80%的房屋主体，100%的基础施工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F71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完成安置房44栋房屋建设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11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B2B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B6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A1B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18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37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59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南昌育山教育咨询有限公司谷雨轩研学基地建设项目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85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南昌育山教育咨询有限公司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8C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钟陵镇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C5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8EE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27182㎡，总建筑面积为12552.65㎡，主要建设内容包括服务咨询用房、教咨询服务辅助及咨询管理用房、生活用房、配套给排水、暖通、电气、室外基础配套设施、污水处理设施、道路等建设；购置安装咨询服务设施设备、通信设备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F0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8A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73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A9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F7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1.园林绿化二期工程图纸评审中；</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2.1号楼、2号楼室内粉刷完成82%，屋面盖瓦完成32%；</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3.室外道路、污水处理管网建设图纸变更；</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4.3号楼、5号楼、6号楼开始粉刷；</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25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完善服务咨询用房、教咨询服务辅助及咨询管理用房、生活用房、配套给排水、暖通、电气、室外基础配套设施、污水处理设施、道路等建设（装修）并正式投入使用。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1A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E6B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84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B80D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99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31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1E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进贤县少年军校项目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F0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农文旅集团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78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农文旅集团</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59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B2F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少年军校项目用地面积 33680.53平方米主要功能分为教学楼、综合办公、宿舍楼、演艺厅及相关配套设备用房。军事教学楼满足展览，研学，教学等功能要求，宿舍楼满足约 1000人住宿要求，综合办公满足日常管办公需求，同时建有相应的室外场地景观等。建设内容包括土建、装饰、给排水、电气、暖通、消防、教学设备采购等工程及室外相关设施的建设。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DF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A4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81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18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64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项目已完成立项、可研，正在进行项目前期工作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1BF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完成少年军校军事扩展体验馆及百艺馆建设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73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AB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23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BE26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9F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1C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37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江西依莱斯医疗器械有限公司生产车间扩建项目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F5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江西依莱斯医疗器械有限公司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33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DC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19E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项目占地面积为9341.23平方米，总建筑面积为30931.04平方米，项目建成后可形成年产量90万只喉罩的生产规模。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41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8D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42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75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6562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C9C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厂房装修已完工，正在进行净化车间施工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321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完成所有车间装修，购置设备并投产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C1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3562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1FC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AE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5C4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4C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76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E5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进贤县高铁南站客运枢纽中心建设项目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EC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7A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交通运输局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05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B6C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总用地面积5294平方米，总建筑面积8980m2（地下停车场2层、超市、调度室、公共厕所），上下客站台6个，机动车停车位300个，新能源</w:t>
            </w:r>
            <w:r>
              <w:rPr>
                <w:rFonts w:hint="eastAsia" w:ascii="宋体" w:hAnsi="宋体" w:cs="宋体"/>
                <w:i w:val="0"/>
                <w:iCs w:val="0"/>
                <w:color w:val="0D0D0D"/>
                <w:kern w:val="0"/>
                <w:sz w:val="18"/>
                <w:szCs w:val="18"/>
                <w:u w:val="none"/>
                <w:lang w:val="en-US" w:eastAsia="zh-CN" w:bidi="ar"/>
              </w:rPr>
              <w:t>汽车</w:t>
            </w:r>
            <w:r>
              <w:rPr>
                <w:rFonts w:hint="eastAsia" w:ascii="宋体" w:hAnsi="宋体" w:eastAsia="宋体" w:cs="宋体"/>
                <w:i w:val="0"/>
                <w:iCs w:val="0"/>
                <w:color w:val="0D0D0D"/>
                <w:kern w:val="0"/>
                <w:sz w:val="18"/>
                <w:szCs w:val="18"/>
                <w:u w:val="none"/>
                <w:lang w:val="en-US" w:eastAsia="zh-CN" w:bidi="ar"/>
              </w:rPr>
              <w:t>充电桩120个，绿化率20%。建设内容包括土建、装饰、给排水、电气、暖通、消防、智能交通设施设备购置、广告牌及室外相关设施的建设。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08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D6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5E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B6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6353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49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储备谋划阶段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77D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完成“三通一平”、部分土方工程。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40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45C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D2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0EAF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3A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86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19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江西沪华五金金属制品生产项目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D7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江西沪华五金工具有限公司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BE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43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8A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项目用地15.4亩，投资1.2亿元，建设厂房以及配套用房。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4E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2B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67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9D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AEC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开发区连片方案还在省厅联审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D4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完成部分生产车间、配套用房主体建设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28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2E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05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1FB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AA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33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40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江西洪隆石化能源有限公司新建加油站项目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497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江西洪隆石化能源有限公司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79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C9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06F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站房建设，加油区设置，油罐区布置，配套设施安装，氢站建设。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A2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2B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85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C3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D71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已完成土地摘牌，目前正在办理前期相关手续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F91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完成加油站以及加氢站建设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9F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BD75">
            <w:pPr>
              <w:keepNext w:val="0"/>
              <w:keepLines w:val="0"/>
              <w:pageBreakBefore w:val="0"/>
              <w:widowControl w:val="0"/>
              <w:kinsoku/>
              <w:wordWrap/>
              <w:overflowPunct/>
              <w:topLinePunct w:val="0"/>
              <w:autoSpaceDE/>
              <w:autoSpaceDN/>
              <w:bidi w:val="0"/>
              <w:adjustRightInd/>
              <w:snapToGrid/>
              <w:spacing w:line="220" w:lineRule="exact"/>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BF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4BE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9A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A3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EA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年产3亿支注射器和1亿套输液器技术改造项目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9A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江西科美医疗器械集团有限公司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3E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17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BF4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将原有生产的医用隔离面罩、医用隔离眼罩、一次性使用病毒采样管、鼻氧管车间改造成生产输液器与注射器车间；改造重装车间面积12000㎡，其中10万级净化车间9900㎡，项目建成后可形成年产3亿支注射器和1亿套输液器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DE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CE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5A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C4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67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车间装修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995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完成生产车间建设，购置设备并投产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59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5940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B0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5E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FF02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A0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FC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F5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江西彩之鼎年产18万套医疗器械印刷包装制品项目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46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江西彩之鼎实业有限公司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B1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C5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0B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建筑面积5024.56平方米，项目建成后形成可年产18万套医疗器械印刷包装制品的产能。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A1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C7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B7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2024.06-2025.04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A3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7BE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钢结构厂房主体建设已完成，正在进行工程收尾，设备正在采购安装调试</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AAB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45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1D5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BC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69D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BD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0A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730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南昌欣禾隆农业有限公司年产50万羽蛋鸡标准养鸡场建设项目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5E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南昌欣禾隆农业有限公司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3A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04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02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项目占地面积26668平方米，总建筑面积23300平方米，项目投产后形成养殖50万羽蛋鸡的生产能力。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35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A0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87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BB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5400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2B1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一期已建成一栋鸡舍，一栋料库等投入生产，二栋鸡舍框架已建成待投入设备使用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410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新建成2栋鸡舍并投入设备使用，养殖规模达25万羽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0E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C68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30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CE7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E5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7F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7F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进贤县乡镇级饮用水源地规范化建设及其水污染防治项目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BF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水利局（生态环境局申报）</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65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生态环境局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水利局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2D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420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该项目建设规模涉及14个乡镇级饮用水水源地规</w:t>
            </w:r>
            <w:r>
              <w:rPr>
                <w:rFonts w:hint="eastAsia" w:ascii="宋体" w:hAnsi="宋体" w:cs="宋体"/>
                <w:i w:val="0"/>
                <w:iCs w:val="0"/>
                <w:color w:val="0D0D0D"/>
                <w:kern w:val="0"/>
                <w:sz w:val="18"/>
                <w:szCs w:val="18"/>
                <w:u w:val="none"/>
                <w:lang w:val="en-US" w:eastAsia="zh-CN" w:bidi="ar"/>
              </w:rPr>
              <w:t>范</w:t>
            </w:r>
            <w:bookmarkStart w:id="0" w:name="_GoBack"/>
            <w:bookmarkEnd w:id="0"/>
            <w:r>
              <w:rPr>
                <w:rFonts w:hint="eastAsia" w:ascii="宋体" w:hAnsi="宋体" w:eastAsia="宋体" w:cs="宋体"/>
                <w:i w:val="0"/>
                <w:iCs w:val="0"/>
                <w:color w:val="0D0D0D"/>
                <w:kern w:val="0"/>
                <w:sz w:val="18"/>
                <w:szCs w:val="18"/>
                <w:u w:val="none"/>
                <w:lang w:val="en-US" w:eastAsia="zh-CN" w:bidi="ar"/>
              </w:rPr>
              <w:t>化建设，以及池溪乡、梅庄镇、南台乡、七里乡、前坊镇、三里乡、三阳集乡、钟陵乡、长山晏乡共9个饮用水水源地二级保护区内43个自然村50个农村生活污水处理系统及其配套污水管网建设。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34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C9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1B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B3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5250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A19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可研已批复</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9D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办理前期手续并开工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68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159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08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6DF3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5D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25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97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江西强欣科技发展有限公司机械设备生产建设项目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4B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江西强欣科技发展有限公司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A2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F5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7B1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项目用地43亩，总建筑面积约22000平方米，其中生产性用房约21900平方米，（其中钢结构厂房一栋约18000平方米；框架多层车间一栋约3900平方米）；非生产性用房100平米。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1F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6E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84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AE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BEF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正在进行主体建设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3F9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C0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FD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6D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6FD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BF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53B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9A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永峰科技年产一万台配电设备二期项目建设</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47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南昌市永峰科技有限公司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80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前坊镇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3E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B1C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主要用于生产国家电网、南方电网、五大发电集电用电能计量用互感器；新建宿舍办公附属用房2000平方米；购买4套自动化生产设备。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C2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D0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70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A7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F22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二期宿舍办公附属用房正在办理相关手续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13F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新建宿舍办公附属用房2000平方米；购买4套自动化生产设备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99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0E5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33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A9E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7B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46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2D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江西北良农业进贤县高标准农田改造一期项目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0E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江西北良农业发展有限公司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2E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23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F5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承包民和街道现有的荒地、旱地、贫瘠土地，进行集中连片平整改造、土壤改良，采用自动喷灌系统、大型智能农用器械作业，完成10000亩左右土地流转（以实际土地流转情况为准）及配套农产品的烘干、加工、储存体系建设，进行油菜、玉米、花生、大豆的轮茬种植。项目计划总占地42亩，总建筑面积13000㎡（其中烘干设施用房2000㎡、加工设施用房2000㎡、仓储用房6000㎡、其他设施用房3000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7C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1C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0D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2F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68B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还有4户未签订地表附着物补偿协议。下一步将继续作工作与剩余的4户签订协议，并与张家和江家2个村小组以及北岭林场签订土地租赁协议。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55F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完成粮食烘干房、粮食仓储厂房的建设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E8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394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4B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EA16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FE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61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FD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南昌屹谦物流有限公司仓储库建设项目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AD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南昌屹谦物流有限公司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E9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52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4F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项目总用地面积5533.33平方米，利用现有仓库建设先进仓储库管理平台，打造智能化大数据物流平台，实现集中管理、统一调拨、实时服务的仓储库项目。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E4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0F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98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B2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662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完成主体建设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58A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D4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AF6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96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43C1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3C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E5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81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南昌金领技工学校有限公司新建学校综合楼项目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74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南昌金领技术学校有限公司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8E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B5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D1A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南昌金领技工学校新建南昌金领技工学校综合楼(数字、电商产业楼)，总用地面积9.66亩。施工建筑面积约17000平方米。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57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BC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22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D3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681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完成主体建设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A7B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完成综合楼建设并投入使用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63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625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3F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34C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46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4E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D1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进贤县温圳镇中心卫生院新建工程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B8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15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7C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9BA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 16600.08平方米、总建筑面积8500平方米，床位数100张、机动车位数85个包括主体建设、装修、绿化及配套基础设施建设等。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07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DA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BC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9B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D0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正在进行地质勘察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B5A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主体结构完成100%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07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86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DC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C8BC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6A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A4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F7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江西超然生态农业发展有限公司四季花海（特色水果种植区套种中药花卉）生态农业园项目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EC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江西超然生态农业发展有限公司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9D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1F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39D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1.新发展种植栀子花、香妃李、太秋甜柿和种植区域套种菊花、牡丹、芍药等2000亩。其中流转稻田，用于稻虾共养养殖区500亩及新建设灌溉系统、排水系统、道路网络、防护林等基础设施。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2.①建设中药材加工车间，用于中草药花卉的干燥、提取等加工。</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②建设水果储存冷库，用于太秋甜柿和香妃李的保鲜和储存。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③建设农产品展示中心，用于展示和销售花卉、水果和中草药产品。</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④新建旱地灌溉和打井，新建办公用房和接待处。</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3.①开发农业旅游项目，如采摘体验、花卉观赏、亲子活动、养生度假等。②建设游客服务中心，提供餐饮、住宿、导游等配套服务。③举办花卉节、水果节等活动，吸引游客前来体验。</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BF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45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02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F0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268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正在筹划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3D1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新发展种植栀子花、香妃李、太秋甜柿和种植区域套种菊花、牡丹、芍药等2000亩。其中流转稻田，用于稻虾共养养殖区500亩及新建设灌溉系统、排水系统、道路网络、防护林等基础设施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0B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3AC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B7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704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E1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7A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19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印泥文化博物馆及生产加工厂房建设项目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0E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上海双维文具礼品有限公司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55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12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CD3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建设印泥文化博物馆，建筑面积1200平米，印泥生产工厂，建筑面积10000平米。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51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DF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57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99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A92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前期谋划，正在进行项目报批及规划设计。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E48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建设印泥文化博物馆，建筑面积1200平米，印泥生产工厂，建筑面积10000平米。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21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67E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E4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E551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1A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40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71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进贤县城区6个农贸市场改造项目（胜利南路农贸市场、青岚农贸市场、凤凰街农贸市场、钟陵路农贸市场、农副产品批发市场）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8B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78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75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D47F">
            <w:pPr>
              <w:keepNext w:val="0"/>
              <w:keepLines w:val="0"/>
              <w:pageBreakBefore w:val="0"/>
              <w:widowControl w:val="0"/>
              <w:suppressLineNumbers w:val="0"/>
              <w:kinsoku/>
              <w:wordWrap/>
              <w:overflowPunct/>
              <w:topLinePunct w:val="0"/>
              <w:autoSpaceDE/>
              <w:autoSpaceDN/>
              <w:bidi w:val="0"/>
              <w:adjustRightInd/>
              <w:snapToGrid/>
              <w:spacing w:line="20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w:t>
            </w:r>
            <w:r>
              <w:rPr>
                <w:rFonts w:hint="eastAsia" w:ascii="宋体" w:hAnsi="宋体" w:eastAsia="宋体" w:cs="宋体"/>
                <w:i w:val="0"/>
                <w:iCs w:val="0"/>
                <w:color w:val="0D0D0D"/>
                <w:kern w:val="0"/>
                <w:sz w:val="15"/>
                <w:szCs w:val="15"/>
                <w:u w:val="none"/>
                <w:lang w:val="en-US" w:eastAsia="zh-CN" w:bidi="ar"/>
              </w:rPr>
              <w:t>、胜利南路农贸市场一楼市场改造面积6259平米、负一楼底下室改造面积8233平米。</w:t>
            </w:r>
            <w:r>
              <w:rPr>
                <w:rFonts w:hint="eastAsia" w:ascii="宋体" w:hAnsi="宋体" w:eastAsia="宋体" w:cs="宋体"/>
                <w:i w:val="0"/>
                <w:iCs w:val="0"/>
                <w:color w:val="0D0D0D"/>
                <w:kern w:val="0"/>
                <w:sz w:val="15"/>
                <w:szCs w:val="15"/>
                <w:u w:val="none"/>
                <w:lang w:val="en-US" w:eastAsia="zh-CN" w:bidi="ar"/>
              </w:rPr>
              <w:br w:type="textWrapping"/>
            </w:r>
            <w:r>
              <w:rPr>
                <w:rFonts w:hint="eastAsia" w:ascii="宋体" w:hAnsi="宋体" w:eastAsia="宋体" w:cs="宋体"/>
                <w:i w:val="0"/>
                <w:iCs w:val="0"/>
                <w:color w:val="0D0D0D"/>
                <w:kern w:val="0"/>
                <w:sz w:val="15"/>
                <w:szCs w:val="15"/>
                <w:u w:val="none"/>
                <w:lang w:val="en-US" w:eastAsia="zh-CN" w:bidi="ar"/>
              </w:rPr>
              <w:t>2、青岚农贸市场一楼改造面积2691平米。</w:t>
            </w:r>
            <w:r>
              <w:rPr>
                <w:rFonts w:hint="eastAsia" w:ascii="宋体" w:hAnsi="宋体" w:eastAsia="宋体" w:cs="宋体"/>
                <w:i w:val="0"/>
                <w:iCs w:val="0"/>
                <w:color w:val="0D0D0D"/>
                <w:kern w:val="0"/>
                <w:sz w:val="15"/>
                <w:szCs w:val="15"/>
                <w:u w:val="none"/>
                <w:lang w:val="en-US" w:eastAsia="zh-CN" w:bidi="ar"/>
              </w:rPr>
              <w:br w:type="textWrapping"/>
            </w:r>
            <w:r>
              <w:rPr>
                <w:rFonts w:hint="eastAsia" w:ascii="宋体" w:hAnsi="宋体" w:eastAsia="宋体" w:cs="宋体"/>
                <w:i w:val="0"/>
                <w:iCs w:val="0"/>
                <w:color w:val="0D0D0D"/>
                <w:kern w:val="0"/>
                <w:sz w:val="15"/>
                <w:szCs w:val="15"/>
                <w:u w:val="none"/>
                <w:lang w:val="en-US" w:eastAsia="zh-CN" w:bidi="ar"/>
              </w:rPr>
              <w:t>3、凤凰街农贸市场改造面积5192平方米、房屋加固面积2596平方米；</w:t>
            </w:r>
            <w:r>
              <w:rPr>
                <w:rFonts w:hint="eastAsia" w:ascii="宋体" w:hAnsi="宋体" w:eastAsia="宋体" w:cs="宋体"/>
                <w:i w:val="0"/>
                <w:iCs w:val="0"/>
                <w:color w:val="0D0D0D"/>
                <w:kern w:val="0"/>
                <w:sz w:val="15"/>
                <w:szCs w:val="15"/>
                <w:u w:val="none"/>
                <w:lang w:val="en-US" w:eastAsia="zh-CN" w:bidi="ar"/>
              </w:rPr>
              <w:br w:type="textWrapping"/>
            </w:r>
            <w:r>
              <w:rPr>
                <w:rFonts w:hint="eastAsia" w:ascii="宋体" w:hAnsi="宋体" w:eastAsia="宋体" w:cs="宋体"/>
                <w:i w:val="0"/>
                <w:iCs w:val="0"/>
                <w:color w:val="0D0D0D"/>
                <w:kern w:val="0"/>
                <w:sz w:val="15"/>
                <w:szCs w:val="15"/>
                <w:u w:val="none"/>
                <w:lang w:val="en-US" w:eastAsia="zh-CN" w:bidi="ar"/>
              </w:rPr>
              <w:t>4、钟陵路农贸市场一楼改造面积515平米、二楼改造面积507平米。</w:t>
            </w:r>
            <w:r>
              <w:rPr>
                <w:rFonts w:hint="eastAsia" w:ascii="宋体" w:hAnsi="宋体" w:eastAsia="宋体" w:cs="宋体"/>
                <w:i w:val="0"/>
                <w:iCs w:val="0"/>
                <w:color w:val="0D0D0D"/>
                <w:kern w:val="0"/>
                <w:sz w:val="15"/>
                <w:szCs w:val="15"/>
                <w:u w:val="none"/>
                <w:lang w:val="en-US" w:eastAsia="zh-CN" w:bidi="ar"/>
              </w:rPr>
              <w:br w:type="textWrapping"/>
            </w:r>
            <w:r>
              <w:rPr>
                <w:rFonts w:hint="eastAsia" w:ascii="宋体" w:hAnsi="宋体" w:eastAsia="宋体" w:cs="宋体"/>
                <w:i w:val="0"/>
                <w:iCs w:val="0"/>
                <w:color w:val="0D0D0D"/>
                <w:kern w:val="0"/>
                <w:sz w:val="15"/>
                <w:szCs w:val="15"/>
                <w:u w:val="none"/>
                <w:lang w:val="en-US" w:eastAsia="zh-CN" w:bidi="ar"/>
              </w:rPr>
              <w:t>5、农副产品批发市场改造面积4367平方米。</w:t>
            </w:r>
            <w:r>
              <w:rPr>
                <w:rFonts w:hint="eastAsia" w:ascii="宋体" w:hAnsi="宋体" w:eastAsia="宋体" w:cs="宋体"/>
                <w:i w:val="0"/>
                <w:iCs w:val="0"/>
                <w:color w:val="0D0D0D"/>
                <w:kern w:val="0"/>
                <w:sz w:val="15"/>
                <w:szCs w:val="15"/>
                <w:u w:val="none"/>
                <w:lang w:val="en-US" w:eastAsia="zh-CN" w:bidi="ar"/>
              </w:rPr>
              <w:br w:type="textWrapping"/>
            </w:r>
            <w:r>
              <w:rPr>
                <w:rFonts w:hint="eastAsia" w:ascii="宋体" w:hAnsi="宋体" w:eastAsia="宋体" w:cs="宋体"/>
                <w:i w:val="0"/>
                <w:iCs w:val="0"/>
                <w:color w:val="0D0D0D"/>
                <w:kern w:val="0"/>
                <w:sz w:val="15"/>
                <w:szCs w:val="15"/>
                <w:u w:val="none"/>
                <w:lang w:val="en-US" w:eastAsia="zh-CN" w:bidi="ar"/>
              </w:rPr>
              <w:t>6、凤凰街农贸市场、胜利南路农贸市场、农副产品批发市场等道路改造面积21913平方米。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D5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改造</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C6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63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2F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84D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853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F2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7C0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BA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427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AD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A7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4B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进贤县池溪港流域水污染综合整治项目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C9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池溪镇政府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E8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池溪镇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AD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810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（1）前端生态沟渠净化工程：在池溪港两条主要支堤（湖田堤、瑶上堤）前端支沟内建设生态沟渠4420m。</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河口人工湿地净化工程：在池溪港两条主要支堤（湖田堤、瑶上堤）入河口端建设垂直潜流湿地面积20000㎡，建设表流人工湿地面积16000㎡；在桥南堤入河口端、罗石堤入口端建设表流人工湿地面积14000㎡；在池溪大道东侧支渠建设垂直潜流湿地面积1500㎡，建设表流人工湿地面积3650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（3）河道生境改善工程：在池溪港主河道和四条主堤（湖田堤、桥南堤、瑶上堤、罗石堤）建设生境改善工程长度13790m。</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15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671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88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18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4903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1C5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已完成立项</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2B5B">
            <w:pPr>
              <w:keepNext w:val="0"/>
              <w:keepLines w:val="0"/>
              <w:pageBreakBefore w:val="0"/>
              <w:widowControl w:val="0"/>
              <w:suppressLineNumbers w:val="0"/>
              <w:kinsoku/>
              <w:wordWrap/>
              <w:overflowPunct/>
              <w:topLinePunct w:val="0"/>
              <w:autoSpaceDE/>
              <w:autoSpaceDN/>
              <w:bidi w:val="0"/>
              <w:adjustRightInd/>
              <w:snapToGrid/>
              <w:spacing w:line="18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1）前端生态沟渠净化工程：在池溪港两条主要支堤（湖田堤、瑶上堤）前端支沟内建设生态沟渠4420m。（2）河口人工湿地净化工程：在池溪港两条主要支堤（湖田堤、瑶上堤）入河口端建设垂直潜流湿地面积20000㎡，建设表流人工湿地面积16000㎡；在桥南堤入河口端、罗石堤入口端建设表流人工湿地面积14000㎡；在池溪大道东侧支渠建设垂直潜流湿地面积1500㎡，建设表流人工湿地面积3650㎡。（3）河道生境改善工程：在池溪港主河道和四条主堤（湖田堤、桥南堤、瑶上堤、罗石堤）建设生境改善工程长度13790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91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F7A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88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A638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EF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54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00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进贤县职业技术高级中学红壤分校改造工程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E3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进贤县职业技术高级中学</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B5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2C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71C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5"/>
                <w:szCs w:val="15"/>
                <w:u w:val="none"/>
              </w:rPr>
            </w:pPr>
            <w:r>
              <w:rPr>
                <w:rFonts w:hint="eastAsia" w:ascii="宋体" w:hAnsi="宋体" w:eastAsia="宋体" w:cs="宋体"/>
                <w:i w:val="0"/>
                <w:iCs w:val="0"/>
                <w:color w:val="0D0D0D"/>
                <w:kern w:val="0"/>
                <w:sz w:val="15"/>
                <w:szCs w:val="15"/>
                <w:u w:val="none"/>
                <w:lang w:val="en-US" w:eastAsia="zh-CN" w:bidi="ar"/>
              </w:rPr>
              <w:t>本工程位于红壤研究所内，改造建筑总面积约13124.07平方米。其中办公、教学综合楼建筑面积约6419.12平方米，宿舍建筑面积约6194.83平方米，食堂建筑面积约510.12平米。室外新建道路面积约4300平方米。改造建设内容：室内改造装修、强弱电，购置办公室家具、教学设备、宿舍家具，新设室外道路及停车位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7D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4A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04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E4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F5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立项变更已批复，编制可行性研究报告</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345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07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6E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8A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9775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95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3F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E0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进贤县经开区光伏发电建设项目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C2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A4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B0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F45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5"/>
                <w:szCs w:val="15"/>
                <w:u w:val="none"/>
              </w:rPr>
            </w:pPr>
            <w:r>
              <w:rPr>
                <w:rFonts w:hint="eastAsia" w:ascii="宋体" w:hAnsi="宋体" w:eastAsia="宋体" w:cs="宋体"/>
                <w:i w:val="0"/>
                <w:iCs w:val="0"/>
                <w:color w:val="0D0D0D"/>
                <w:kern w:val="0"/>
                <w:sz w:val="15"/>
                <w:szCs w:val="15"/>
                <w:u w:val="none"/>
                <w:lang w:val="en-US" w:eastAsia="zh-CN" w:bidi="ar"/>
              </w:rPr>
              <w:t>通过光伏系统作为分布式电源，10KV配电网为核心，结合已有的配电系统、动力系统、热负荷系统等，配置一套智慧能源管理平台；对经开区一区三园自有标准厂房安装光伏发电工程。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5C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17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25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B0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4437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B09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目前正在走备案流程</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EB6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76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4437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2FB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02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A802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47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DF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0E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江西荣驰文化传媒有限公司架桥老电影院提升改造项目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A7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江西荣驰文化传媒有限公司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7C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架桥镇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BC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95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5"/>
                <w:szCs w:val="15"/>
                <w:u w:val="none"/>
              </w:rPr>
            </w:pPr>
            <w:r>
              <w:rPr>
                <w:rFonts w:hint="eastAsia" w:ascii="宋体" w:hAnsi="宋体" w:eastAsia="宋体" w:cs="宋体"/>
                <w:i w:val="0"/>
                <w:iCs w:val="0"/>
                <w:color w:val="0D0D0D"/>
                <w:kern w:val="0"/>
                <w:sz w:val="15"/>
                <w:szCs w:val="15"/>
                <w:u w:val="none"/>
                <w:lang w:val="en-US" w:eastAsia="zh-CN" w:bidi="ar"/>
              </w:rPr>
              <w:t>提升改造项目总用地16.88亩，总建筑面6094.55㎡，其中影剧院3568.06㎡（原有建筑），配套办公楼建筑面积973.74 ㎡（原有建筑） ，住宅楼建筑面积1417.25㎡（原有建筑），公共卫生间面积：111㎡（原有建筑），门卫建筑24.5㎡（原有建筑）做全面的提升改造。包括新增设停车泊位68个和提高园林绿化率等项。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61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3D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92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02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4200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469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1、完成项目测量；2、完成项目概念方案设计；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3、完成项目初步方案设计；4、完成项目规划及单体建筑设计。5、脚手架搭设完毕，外墙破旧，铲除，清洗完毕，旧窗全部拆除，底层挂网抹灰正在进行。</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0B0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完成项目主体装修3568.06㎡、设备安装20余套、园林绿化工程4000余㎡、新建构造物动土施工1000余㎡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78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B1E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6C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098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AB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E6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19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进贤经开区人民大道、滨湖大道、青岚大道、青阳大道四条道路沥青摊铺工程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92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30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B5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CE4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总摊铺面积约22万平方米，摊铺厚度10cm，含个路口及企业厂区门口，其中包括更换路沿石约19km以及摊铺路面标线。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B0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C1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97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43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4036</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1509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642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完成道路沥青摊铺工程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37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4036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E51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87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2D0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A4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5B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63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进贤县全民健身中心新建工程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F1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CA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54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6A8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面积35359.27平方米，新建足球场二个4529平方米（一个七人制3404平方米、一个五人制1125平方米），项目总建筑面积4630平米，其中，室内篮球场1460平方米，室内排球（气排球）场730平方米，室内羽毛球场260平方米，室内乒乓球场260平方米，室内器械健身中心300平方米，公厕、服务用房320平方米及其他驿站等配套公共设施1300平方米。绿荫运动区一个2500平方米，机动车停车位40个，非机动车停车位78个，步行环道1660平方米，骑行环道2500平方米；新建中心内道路、给排水等附属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FE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74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57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8E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EEE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规划中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024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8D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D4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7C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FE97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F2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23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99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江西黄玲玲生态农业有限公司新建蛋鸡养殖厂项目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DB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江西黄玲玲生态农业有限公司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80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DF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DA6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总用地面积50.91亩，分二期建设，一期建设总占地面积为20亩，建筑面积为13000平方米，二期建设总占地面积30.91亩，总建筑面积为14280平方米，项目建成后，形成年增产38万只蛋鸡养殖能力。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5C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36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7E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2023.10-2026.10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D5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3680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A6F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项目6栋鸡舍基础已完成，11月底完成一栋鸡舍，一栋料库建设，12月底10万羽养殖设备投入使用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E7F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新建成3栋鸡舍并投入设备使用，养殖规模达35万羽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F7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D52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39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98C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70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74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65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进贤县经开区数字经济服务中心提升改造工程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E31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3A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09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FE7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原创业大厦总建筑面积14101.9平方米，共12层。拟对各楼层进行功能性提升改造，以达到企业入驻条件。</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30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15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A9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2024.03-</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2025.03</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53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938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墙体砌筑大面积已完成:（除电梯井及酒店管井）</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墙体粉刷已完成:园区部分（酒店区域已施工10层、9层、8层、7层）</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水电工开槽布管已完成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水电工水管开孔已完成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水电工水管安装已完成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园区消防安装消火栓已完成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园区消火栓布管已完成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喷淋布管已完成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30A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完成装修并投入使用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B6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31D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29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1A5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18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FB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1E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江西鸿龙房地产开发有限公司文墨江南住宅小区工程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37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江西鸿龙房地产开发有限公司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8D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73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C12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项目规划用地面积4500平方米，建筑占地面积3500平方米。房地产开发项目，集住宿、街区商业等一体。</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95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C7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AF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5B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F17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平整土地、规划设计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D2D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项目规划用地面积4500平方米，建筑占地面积3500平方米。房地产开发项目，集住宿、街区商业等一体。</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BC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BB6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05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90DD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B5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9B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55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进贤县垃圾中转站提升改造一期工程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8C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3D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5D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3AF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对城区现有的9座小型垃圾中转站进行提升改造，主要内容水磨石地面、地面排水沟、墙面贴砖、钢筋砼地坑、地坑排水沟、渗沥液集水井、压缩成套设备9套、除糗成套设备9套以及增加相关配套设施吸污车、中转站对接车、垃圾压缩收运车等；新建一座大件垃圾破碎中心，项目建成后，形成垃圾转运能力160吨/日、形成大件垃圾处理能力20吨/日。</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9D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C0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8F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AA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3121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88F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已完成立项，可研编制及评审；完成初步设计及概算文本和评审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36B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水磨石地面、地面排水沟、墙面贴砖、钢筋砼地坑、地坑排水沟、渗沥液集水井、压缩成套设备9套、除糗成套设备9套以及增加相关配套设施吸污车、中转站对接车、垃圾压缩收运车等、新建一座大件垃圾破碎中心的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3B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3121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4BA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A4C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91A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02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C9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62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南昌大学医疗器械现代产业学院项目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24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南昌大学</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6B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1F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D24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装修3000平方米的无菌实验室、细胞培养实验室、自动化无尘实验室以及办公室。</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72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2E0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E0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BD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FE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场地已确定，正在进行施工方案设计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1E3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完成并运营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02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2A3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7B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3AB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BB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47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E87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博音听力技术听力检测和助听系统设备</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26D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博音听力技术(上海)有限公司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0F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20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259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租赁面积1600㎡，建设生产车间、产品展示厅。</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31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04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CE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40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89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已签约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F1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完成厂房装修、设备调试</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C4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105A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02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B5B1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A1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CC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AB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江西亿翔再生资源有限公司废旧塑料回收再生资源综合利用项目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0EA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江西亿翔再生资源有限公司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7A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5B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A4C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租赁厂房面积6000平方米，项目建成后可形成年产6万吨废旧塑料回收再生资源综合利用规模。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91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7E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33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33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5B5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475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完成厂房装修并投入使用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EC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BA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0E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0D7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B2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B0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C2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南昌市帝豪汽车零部件有限公司年产50万套汽车零部件生产线项目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35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南昌市帝豪汽车零部件有限公司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1C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79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0EF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项目总面积28.72亩，总建筑面积36000㎡，项目建成后年产50万件汽车零部件生产线项目。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80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51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88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2024.12-2025.12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66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ABF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基础施工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81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完成厂房建设，并交付使用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EE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2700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1EA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EA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72DD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5E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0D3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E4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南昌市君健橡塑制品有限公司新建药用丁基胶塞生产项目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37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南昌市君健橡塑制品有限公司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1C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AD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14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项目总用地48亩，总建筑面积6000㎡：生间车间2500㎡、仓库2000㎡、办公楼1500㎡，项目建成后，形成年增产20亿只药用丁基胶塞能力。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AD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C7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26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7F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E7A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完成基础建设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699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主体完工，设备进场并投产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EE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93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00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19FB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69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7A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F3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进贤县城市停车场改建一期工程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5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5E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01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7CB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对现有闲置空地（荒土）停车场，实施围档、绿化建设，并安装充电桩，场地照明设施和排水管网等，改建路外停车场40个，整治并硬化场地15000平方米，建设停车泊位8000个。</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08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1B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02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A9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FE5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正在做可行性研究报告和初步设计方案</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95C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场地硬化，围档，绿化，充电，照明，排水管网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2F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46F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48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E50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8A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D3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DE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中药材种植项目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1F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进贤县小才种植专业合作社</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C2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梅庄镇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ED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  辉</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周欢庆</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0CD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中药材种植基地一千亩，加工厂房3000平方，烘干房1000平方。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A1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63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8C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2023.03-2027.12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F3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E2A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已完成800亩中草药种植基地建设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9C2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建设烘干房1000平方，增加500亩种植用地</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58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091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79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7DB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88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47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1F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进贤县智能安防小区升级改扩建项目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94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政法委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E3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政法委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D3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A5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主要包含对进贤县云桥街道、民和街道及相关乡镇共117个小区进行安防改造，主要内容包含智能安防小区平台升级(包含原有进贤县智能安防小区汇聚平台扩容、智慧平安小区平台功能扩容、视频接入服务器、数据级联推送平台服务器、数据级联推送平台等)、小区安防设备建设(包含前端点位基础设施建设、网络及安全建设、视频图像存储部署等)、二三类视频接入(包含公安雪亮平台二三类社会资源点接入专线链路)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1A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D8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3C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A7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2818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95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已完成项目招投标，目前处于进场施工筹备阶段， 预计在10月中旬正式开工建设，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C66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主要包含对进贤县云桥街道、民和街道及相关乡镇共117个小区进行安防改造，主要内容包含智能安防小区平台升级(包含原有进贤县智能安防小区汇聚平台扩容、智慧平安小区平台功能扩容、视频接入服务器、数据级联推送平台服务器、数据级联推送平台等)、小区安防设备建设(包含前端点位基础设施建设、网络及安全建设、视频图像存储部署等)、二三类视频接入(包含公安雪亮平台二三类社会资源点接入专线链路)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EF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1018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9CE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D3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15FA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C3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EF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DA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三阳集乡闸上村（岗峰咀）共同富裕样板村建设项目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DC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三阳集乡政府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FB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三阳集乡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20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0BB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红线面积约167752㎡，其中建筑外立面改造6608平方米，道路白改黑面积15092平方米，房前屋后地面铺装改造（水泥压花地坪、乡土铺装等）16462平方米，三园改造（果园栽植、菜园整治、村庄空地整治及养化塘整治）广场及铺装、围墙、绿化、新建公共厕所、星级餐厅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2B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B8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4A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3E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797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已完成地下雨污管网建设 ，正在进行地面工程施工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BD7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完成自然村所有居民住房的外立面改造；完成村内道路白改黑施工，完成村内三小园改造，新建星级餐厅，新建灯塔一座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F1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7F5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5B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D2B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42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A3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6C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进贤产业园铭发标准厂房消防维修改造工程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6D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进贤经开区工业投资发展有限公司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A9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87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287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造标准厂房消防总面积约102400㎡；增加消防控制室、发电机房、消防泵房、消防水池、敷设室外消防管网等；主要建设内容为消防设施升级：包括消火栓系统、自动喷水灭火系统、火灾自动报警、暖通防排烟系统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2A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1A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86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D2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2520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63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已立项，正在同步编制可研及初步设计。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0F3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完成产业园铭发标准厂房消防维修改造，将原工业戊类消防等级提升为丙类。</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60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2520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02F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76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6ACD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D1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A7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C8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医科园二级消防站新建工程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0A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进贤融创产业发展集团有限公司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4D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21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FBBE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项目用地20亩，总建筑面积约4300㎡，其中消防大队综合楼3000㎡、训练塔1200㎡、门卫100㎡。主要建设内容包括建筑、结构、装饰、给排水、电气、暖通、室外配套设施工程等。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46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20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04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2023.09-2025.03</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55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F0D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物资库、发电机房：全部完成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门卫室：全部完成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训练塔：全部完成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综合楼：全部完成</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室外：1.室外混凝土浇筑完成100%。2.室外支路混凝土浇筑完成100%。3.室外水稳完成100%。4.门牌粉刷完成。5.室外栏杆安装完成90%。6.场地平整完成100%。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DDC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建成投入使用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6C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58F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E4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F960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47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77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55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江西通达鸿基实业有限公司电子连接器项目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F2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江西通达鸿基实业有限公司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19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3B0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6AE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项目总用地3亩，总建筑面积3000㎡，项目建成后，可形成年产1.4亿个电子连接器的生产规模。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FC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8B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98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49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D7E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正在进行主体建设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D02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7C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27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17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6FA8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6D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87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E4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沪湾生物科技干眼症治疗仪设备生产项目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80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沪湾生物科技（上海）有限公司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52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79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2C8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租赁面积2000㎡，建设生产车间。</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F0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81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3C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7C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FB4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已签约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52B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完成厂房装修、设备调试</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1A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F59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06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B39A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42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86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77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中德新亚江西新材料有限公司新型建筑工程材料生产线项目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3B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中德新亚建筑材料有限公司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7B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E7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37D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目租用进贤县经济开发区温圳工业园温创大道，总建面积4000平方米，项目建成后可形成年产10万吨新型建筑工程材料生产线。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46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16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D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4C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6D9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正在进行设备基础施工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8F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完成装修投产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24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6C0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C0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D686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19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9C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243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南昌市嘉雨阳装饰公司装配式门窗扩建项目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64D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南昌市嘉雨阳装饰有限公司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CC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6A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605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建设厂房约5000平方米，2025年预计产能新增3500万元，总计6000万元。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BF6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68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94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70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A10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正在进行基础施工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C54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完成扩建一栋厂房并投入使用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BD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C5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5A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6714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CB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288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5D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江西省昌达肉食驴良种繁育基地项目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C5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江西省昌达生态旅游开发有限公司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30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下埠集镇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F6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0C5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总占地面积100亩，总建筑面积40亩，建设主体为驴棚。</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9B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C0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98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2025.02-2025.07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A2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7AF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项目正在申报备案</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365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完成驴棚建设并投入使用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16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0F6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F6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E232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74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52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13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进贤县泉岭乡南岸村蛋鸡养殖建设项目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57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泉岭乡政府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08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泉岭乡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F4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33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期新建鸡舍2栋，计2800㎡；新建管理房一栋150平方米；购买自动化养鸡设备2套，道路硬化、水电等基础设施。二期新建鸡舍2栋，计3072㎡，鸡苗保温室一栋1000㎡；购买自动化养鸡设备2套，道路硬化、水电等基础设施。三期新建鸡舍2栋，计3072㎡；购买自动化养鸡设备2套，道路硬化、水电等基础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8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03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续建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F0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D5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557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一期新建鸡舍2栋，计2800㎡；新建管理房一栋150平方米；购买自动化养鸡设备2套，道路硬化、水电等基础设施已完成。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834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二期新建鸡舍3栋，计4500㎡，蛋库1200㎡；购买自动化养鸡设备3套，道路硬化、水电等基础设施。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90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1D4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5E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D154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F4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14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28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进贤县贤士三路人民大道至董源路道路工程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02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9F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C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111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长380米，宽32米（含相关的路基、路面、排水、照明和交通工程等）。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F3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6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E4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C3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1850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8DB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正在初设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14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道路平整、雨水管网预埋等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08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835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CA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41A5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15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82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A8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茶亭农业蔬菜基地项目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51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进贤县茶亭农业专业合作社</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02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云桥街道</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商务局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26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7BC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建设蔬菜基地368亩，已建成蔬菜大棚150亩，新增30亩蔬菜大棚，对188亩荒地进行开荒，改良土壤，建设覆盖全园水肥一体化浇灌系统。</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76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6B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59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68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62E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现已对180亩荒地建设完成，188亩荒地正在开荒建设中。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769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对188亩荒地进行开荒建设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CB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3B5B9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FB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87B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9F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8B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66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2025年省级优势特色产业重点县项目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C6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进贤创新发展控股集团有限公司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36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84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C30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养鳝塘搭梗护坡平整8843.89m³；2.养鳝塘梗铺贴HDPE防渗膜48950.93m；3.养鳝塘尾水排放系统安装16座；4.集成管理房（成品）16栋；5.钢筋混凝土挡土墙406.40m；6.操作平台2522.88m²；7.储物间地面及散水734.72m²；8.生产道路改造提升12600㎡；9.郁郁池支渠疏浚2600m；10.六角块护坡25200m²；11.护坡基础4200m；12.过路圆管涵120m；13.过路箱涵3座。</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DA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BC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61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15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1791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F9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正在编制项目申报书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A77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养鳝塘搭梗护坡平整、防渗膜、养鳝塘尾水排放系统安装、集成管理房（成品）16栋、钢筋混凝土挡土墙、操作平台、储物间地面及散水、生产道路改造提升、郁郁池支渠疏浚、六角块护坡、过路圆管涵、过路箱涵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AD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1791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122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A4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F44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7C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C2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3D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进贤县职业技术高级中学东侧连接老320国道段道路建设工程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3B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D5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10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60C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道路全长约470米，宽为14-24米，其中14米宽道路约250米，24米宽道路约220米。主要建设内容包括：道路、排水、交通、照明、绿化及电信工程,给水、燃气、电力预留管位等。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A20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8C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84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76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5B6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已立项，正在同步编制可研及初步设计。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0A2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5C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ACA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F2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A418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0E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03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29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进贤县2024年校舍安全保障长效机制工程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C1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19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B6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2B5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校舍维修、运动场改造、围墙、厕所改造等校舍维修、运动场改造、围墙、厕所改造等约47515平方米。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F4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C8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BD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0A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1560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575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完成可研</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90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69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1560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86C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66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A6F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87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C2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C4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进贤县贤士二路北二路至北三路段道路工程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F4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9C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8D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332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长850米，宽20米（含相关的路基、路面、排水、照明和交通工程等）。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24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75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FA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2024.09-2025.06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12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1551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9A1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1、北侧路基整平压实完成总量约90%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2、路基整体完成90%（剩余约4%目前无法施工）</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3、雨污水主管及接户井完成总体90%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4、雨水箅子完成总体95%</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5、通信管完成总体80%</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6、强电管完成总体80%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B97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摊铺沥青装路沿石绿化等全面完工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A8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751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AD3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16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92C4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FB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5A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42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进贤县创业大道东延伸段项目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2E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33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0C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75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项目全长0.474KM，西接高速连接线，东接兴业大道（未建），标准宽度40m，为沥青混凝土路面，道路等级为市政次干道，主要包含：道路工程、照明工程、交通工程、绿化工程、给排水工程。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AD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78B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90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2C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0A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完成土地报批、项目前期立项工作并开工建设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9B3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32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A93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85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DEAB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CB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DF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20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江旅国际宾馆装修项目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13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江西省旅游集团</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95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BF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A1B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项目租赁面积为4825平方米，打造准四标准精品酒店，建设包括但不限于目前该物业的楼层及其附属房屋、房屋外墙、屋顶、电梯、消防泵房、热水泵房、配电房、地面停车场及必要的进出口、汽车通道等。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5D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AD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ED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2024.10-2025.03</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6B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D5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正在进行装修</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FBE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完成酒店主体装修，并投入运营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06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3F9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8A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ABE2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6E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41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65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进贤县医科园污水处理厂管网配套项目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45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88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FE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熊志清</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杜  卿</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9A6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拟建设3.1km压力污水管道。</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6D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7A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3F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2024.11-2025.06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FE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5AA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正在进行管道铺设施工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C59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建设3.1km压力污水管道</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F1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5C9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BC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6D3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58F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DE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21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进贤县第二初级中学（星火校区）校舍扩建工程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3B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11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A8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BE4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扩建一幢建筑面积为3120平方米的体育馆、建筑面积为340平方米连廊及门卫、校园道路及相关设施设备采购、安装。</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E5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19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97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3C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67F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申请变更学校规划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4FAF">
            <w:pPr>
              <w:keepNext w:val="0"/>
              <w:keepLines w:val="0"/>
              <w:pageBreakBefore w:val="0"/>
              <w:widowControl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3A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2A0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3E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0905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76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CE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4B9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进贤县北三路贤士一路至贤士二路道路工程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8F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00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B5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56E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长260米，宽32米（含相关的路基、路面、排水、照明和交通工程等）。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D2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9C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4A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B0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1298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958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已完成立项，正在初设、评审、办理用地红线</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29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道路平整、雨水管网预埋等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79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0BB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7C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693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2D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48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E8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进贤县三里乡便民服务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中心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A6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三里乡政府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12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三里乡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B4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497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新建一栋6层的便民服务中心、一栋大门及配套设施，总建筑面积 4630㎡，改造提升区域占地约1500㎡（其中规划建筑占地面积852.4㎡）。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24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28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12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B7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1151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D3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61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完成一栋6层的便民服务中心、大门及配套设施建设，并投入使用。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C3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1151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B35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84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61F6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3B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26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B9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江西李渡酒业有限公司李柴段东1期2.995MW光伏配储项目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9B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江西李渡酒业有限公司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84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李渡镇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AC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F76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该项目利用厂区4#酿酒车间7776平方米、5#酿酒车间5832平方米、6#酿酒车间5832平方米、包装车间8720平方米，利用屋顶总面积2.8万平方建设2.995MW分布式光伏电站，配置600KW/1.2MW.h储能电站。</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A3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44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13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21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1050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8D4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项目准备开工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275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屋顶总面积2.8万平方光伏分布完成，并网发电</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AE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490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812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28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047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D2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E90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FE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2024年市级罗溪水产产业强镇项目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19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江西青岚湖生态农业发展有限公司、江西祥庆农业开发有限公司、江西明玥生态农场有限责任公司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4C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罗溪镇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6C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A87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建设池间道路砼硬化、进排水渠、防护防逃防盗设施、增氧设施100套；景观太阳能路灯140盏；工作道PC砖铺设；池塘防草砼现浇护坡；钢化玻璃栈道；休闲垂钓台9个；工作台500m2，青石板铺设；物联网系统1套等。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DE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F0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3F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5D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99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已推荐市级申报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7FC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池间道路砼硬化、主道沥青路面提升改造、进排水渠砼现浇护坡、防护防逃防盗设施、增氧设施、路灯、工作道PC砖铺设、池塘防草砼现浇护坡、莲鱼种养区生产道路提升改造、新筑池埂、休闲垂钓平台、新筑池埂、防汛路、埋涵管、路肩护理、休闲垂钓长廊、休闲垂钓台、工作台、物联网系统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B3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AEA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E2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581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1A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CB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78A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2024年市级七里春香柚产业强镇项目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CC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江西欧月生态农业发展有限公司、江西省金凤凰实业有限公司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16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七里乡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6C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3B7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欧月自动化设施设备建设项目①自动打药系统，包括2台雾化主机，2台增压机，铺设500亩管网和喷头。②自动选果机1台。③连栋设施大棚15000平方米，单栋简易大棚5000平方米；2金凤凰自动设施设备建设项目①水肥一体化系统1套。②自动选果机一台。③自动包果机二台。④连栋大棚约5000平方。⑤喷灌50亩。⑥滴灌系统200亩。3.成美仓储建设项目：①储存库1000平方米。②冷库200平方米。③自动选果机1台。</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E3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1E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3A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D1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D66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已推荐市级申报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08B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完成欧月自动化设施设备建设项目、金凤凰自动设施设备建设项目、成美仓储建设项目并投入使用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C1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355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64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0BA0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F7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71F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83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2024年市级重点发展特色产业项目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49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江西佐家寨生态农业发展有限公司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73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CA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20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安全防护栏9900平方米；景观艺术护栏600米；景观彩色游步道4200平方米；智慧安防系统1套；彩绘路2700平方米；停车场硬化20000平方米；道路硬化3000平方米；绿化（樱花树2100棵，草皮10000平方米）；景观标识点位打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8C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02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12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E5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956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已推荐市级申报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E1F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安全防护栏9900平方米；景观艺术护栏600米；景观彩色游步道4200平方米；智慧安防系统1套；彩绘路2700平方米；停车场硬化20000平方米；道路硬化3000平方米；绿化（樱花树2100棵，草皮10000平方米）；景观标识点位打造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D6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041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81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C141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72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13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6E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医科园创新一路西延伸道路工程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8D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A2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6A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0F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新建450米道路，宽20米，主要包括道路工程、照明工程、交通工程、绿化工程、给排水工程。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7F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CF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8B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64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DF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632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完成道路新建450米及相关设施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30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23B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0B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FDC0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EF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E2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39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进贤县入河排污口规范化建设项目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64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水利局（生态环境局申报）</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C8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生态环境局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47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6AB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项目将对已排查溯源后予以保留的、非企业事权的53个入河排污口进行规范化建设。在本项目中，对53个排口建立档案，规范设置53个监测采样点，建立9块标识牌，安装2套水质自动监测装置和49套流量实时监控装置，安装53套视频监控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12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E9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D6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30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935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DB8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项目已开标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A3B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46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935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3C1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80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E30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8A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2D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1D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进贤县云桥街道云桥村农民文化活动中心建设项目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A9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云桥街道云桥村委会</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28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D6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1D1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项目占地面积576m²,建筑面积 3456 m²。在嘉禾路和人民大道交口处，建设云桥村委会农民文化活动中心综合服务用房。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FB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E4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C3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2025.12-2026.12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30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920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C8F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正在办理建设手续，准备招投标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471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预计完成一栋7层农民文化活动中心封顶</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D6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60C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C3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44F7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10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3E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71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温圳镇温圳大道“白改黑”工程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82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BB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C1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5ED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项目全长2.58公里，路面宽18米。在已有的硬化路面铺设沥青。</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3C5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E3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56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34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F4E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项目建设前期准备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3C3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完成沥青铺设并通车</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F6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CCE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C1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DB7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CE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4B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C1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温圳园区温创及温福大道沥青摊铺工程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2D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B4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31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09E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总摊铺面积约4.4万平方米，摊铺厚度10cm，含个路口及企业厂区门口，其中包括更换路沿石约4.8km以及摊铺路面标线。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8C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E5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89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A0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860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CD2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A9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完成道路沥青摊铺工程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C0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860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5AD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B4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8FD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F0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5F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85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进贤农商银行池溪支行营业用房改建工程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E5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江西进贤农村商业银行股份有限公司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91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池溪镇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BE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2ED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主要包括旧房拆除、地面平整，重建营业用房（面积约900㎡）、装饰工程、绿化工程、亮化工程、停车场工程等。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67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92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C9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CA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09A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项目建议书已批复，正在办理工程规划许可证</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AB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进贤农商银行池溪支行营业用房主体建设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4B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C1D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893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0BA2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9D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9A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BB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进贤县文港镇卫生院县域医疗服务次中心建设项目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50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3F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A0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167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项目主要内容包括科室设置、医疗设备配置（新增）、服务能力辅助配置。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FF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0C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F1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36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775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3E4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医疗设备已于8月26日日开标，中标公司为江西南华赣新医药有限公司，设备正在转运。建设项目于2024年10月12号开标，中标公司为江西欧越建设工程有限公司。</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392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整体完工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890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575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4E2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728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125B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2C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A1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58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w:t>
            </w:r>
            <w:r>
              <w:rPr>
                <w:rFonts w:hint="eastAsia" w:ascii="宋体" w:hAnsi="宋体" w:cs="宋体"/>
                <w:i w:val="0"/>
                <w:iCs w:val="0"/>
                <w:color w:val="0D0D0D"/>
                <w:kern w:val="0"/>
                <w:sz w:val="18"/>
                <w:szCs w:val="18"/>
                <w:u w:val="none"/>
                <w:lang w:val="en-US" w:eastAsia="zh-CN" w:bidi="ar"/>
              </w:rPr>
              <w:t>“</w:t>
            </w:r>
            <w:r>
              <w:rPr>
                <w:rFonts w:hint="eastAsia" w:ascii="宋体" w:hAnsi="宋体" w:eastAsia="宋体" w:cs="宋体"/>
                <w:i w:val="0"/>
                <w:iCs w:val="0"/>
                <w:color w:val="0D0D0D"/>
                <w:kern w:val="0"/>
                <w:sz w:val="18"/>
                <w:szCs w:val="18"/>
                <w:u w:val="none"/>
                <w:lang w:val="en-US" w:eastAsia="zh-CN" w:bidi="ar"/>
              </w:rPr>
              <w:t>十四五</w:t>
            </w:r>
            <w:r>
              <w:rPr>
                <w:rFonts w:hint="eastAsia" w:ascii="宋体" w:hAnsi="宋体" w:cs="宋体"/>
                <w:i w:val="0"/>
                <w:iCs w:val="0"/>
                <w:color w:val="0D0D0D"/>
                <w:kern w:val="0"/>
                <w:sz w:val="18"/>
                <w:szCs w:val="18"/>
                <w:u w:val="none"/>
                <w:lang w:val="en-US" w:eastAsia="zh-CN" w:bidi="ar"/>
              </w:rPr>
              <w:t>”</w:t>
            </w:r>
            <w:r>
              <w:rPr>
                <w:rFonts w:hint="eastAsia" w:ascii="宋体" w:hAnsi="宋体" w:eastAsia="宋体" w:cs="宋体"/>
                <w:i w:val="0"/>
                <w:iCs w:val="0"/>
                <w:color w:val="0D0D0D"/>
                <w:kern w:val="0"/>
                <w:sz w:val="18"/>
                <w:szCs w:val="18"/>
                <w:u w:val="none"/>
                <w:lang w:val="en-US" w:eastAsia="zh-CN" w:bidi="ar"/>
              </w:rPr>
              <w:t>重点村进贤县文港镇周坊村毛笔工坊建设工程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AF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A7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D4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D49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总建筑面积为3405.96平方米，建设一栋占地面积1200㎡，长40m，宽30m，建筑面积3600㎡，的毛笔制作工坊。</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DC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25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5D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D2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762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正在进行初设评审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123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总建筑面积为3405.96平方米，占地面积1200平方米。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68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57B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DC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6EC2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C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6E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C2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进贤县温圳镇新村新盘桥新建工程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56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29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C30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CDE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新建桥梁上部结构采用5－16米装配式预应力砼空心板；下部结构采用柱式墩，重力式桥台；桥墩基础采用桩基础。桥梁全长90.06米，全宽8.0米，其中行车道宽7.0米。横向布置为净7.0米（行车道）+2*0.5（防撞墙）。</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58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10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DF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A3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237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目前已经初步设计评审中，相关流程（预算批复、招投标等）后11月份开工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D67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完成新盘桥建设并投入使用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69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C2E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CC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200F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0C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F1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AA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2025年受污染耕地安全利用项目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C9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B5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AB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C42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针对进贤县43945.76亩受污染耕地安全利用耕地，采取土壤调理、叶面阻控、种植结构调整等安全利用措施，确保我县受污染耕地安全利用率不低于93%。</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E5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1D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08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D9A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510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86A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已推荐市级申报</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875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全面完成进贤县43945.76亩受污染耕地安全利用耕地，采取土壤调理、叶面阻控、种植结构调整等安全利用措施，确保我县受污染耕地安全利用率不低于93%。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C4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7C3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00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256BF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08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5D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90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温圳园区八路西延伸道路工程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F1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9A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34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F19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新建380米道路，宽16米，主要包括道路工程、照明工程、交通工程、绿化工程、给排水工程。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9F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7F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3F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2025.04-2025.06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B7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B5E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6A4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完成道路新建380米及相关设施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21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784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E9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66F6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8E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2F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2A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温圳园区五路南延伸道路工程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02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43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16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5E3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新建280米道路，宽20米，主要包括道路工程、照明工程、交通工程、绿化工程、给排水工程。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D8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0C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91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36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B839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6BB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完成道路新建280米及相关设施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EB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A5D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AC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B701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59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33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8D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温圳园区八路东延伸道路工程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0E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进贤县千医良邦企业管理有限公司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DE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AC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9D9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新建100米道路，宽16米，主要包括道路工程、照明工程、交通工程、绿化工程、给排水工程。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CB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AAC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08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1A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B28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目前正在编制施工图及预算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776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完成道路新建100米及相关设施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76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174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3A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E14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D7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B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F99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进贤县贤士二路站前大道至北六路段道路工程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8B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C5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F7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470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长269米，宽20米（含相关的路基、路面、排水、照明和交通工程等）。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BC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79F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7B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2024.10-2025.05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B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942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1、路基整体完成65%；</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2、雨污水主管完成60%.</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56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全面完工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3C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471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82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6BC9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94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07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49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南昌市进贤县城区排水防涝管网及设施提升改造项目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40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91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60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82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对城区民和商城积水点等五个积水点进行整改。工程量主要包含新建2.5m×1.5m~5.5m×3m雨水箱涵3.5km，新建DN300-DN1200雨水管道1.3km，一体化泵站2座等。2.购置移动泵车、疏通车、发电机、排水泵等专用防汛设施设备。3.搭建排水管网及设施运行管理信息化平台，安装新建水位感知设备、流量感知设备等物联智能感知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A6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6E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62F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BD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18143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859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E3A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完成前期手续的办理及地形整理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4A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C42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11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5107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A4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2D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4D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进贤县生活垃圾分类设施建设项目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17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C8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89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6BC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再生资源分拣转运中心一座，占地面积20000平方米，总建筑面积12000平方米，购置破碎机1台、打包机一台、配套建设道路、绿化、消防等辅助设施。具备大件垃圾破碎、废旧织物贮存、有害垃圾贮存、可回收物贮存、分类转运、分类宣教等功能，达到了“减量化、资源化、无害化”目的；新建4座垃圾中转站（厨余垃圾）2000平方；购置相应的分类清运车辆及分类设施设备（分类桶及分类亭或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51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5A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84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82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EC9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9BC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06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8C3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D0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1F58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55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41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A6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进贤县内青岚湖湖滨缓冲带拦截净化工程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E1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水利局（生态环境局申报）</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9B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生态环境局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水利局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57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11C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1）生境改善工程：包括透明度提升、风浪控制、微地形改造、鱼类控制；2）水生植物恢复工程：充分利用内青岚湖近岸湖泊水面、坑塘水面等，拟建缓冲带总面积99.24万</w:t>
            </w:r>
            <w:r>
              <w:rPr>
                <w:rFonts w:hint="eastAsia" w:ascii="微软雅黑" w:hAnsi="微软雅黑" w:eastAsia="微软雅黑" w:cs="微软雅黑"/>
                <w:i w:val="0"/>
                <w:iCs w:val="0"/>
                <w:color w:val="0D0D0D"/>
                <w:kern w:val="0"/>
                <w:sz w:val="18"/>
                <w:szCs w:val="18"/>
                <w:u w:val="none"/>
                <w:lang w:val="en-US" w:eastAsia="zh-CN" w:bidi="ar"/>
              </w:rPr>
              <w:t>㎡</w:t>
            </w:r>
            <w:r>
              <w:rPr>
                <w:rFonts w:hint="eastAsia" w:ascii="宋体" w:hAnsi="宋体" w:eastAsia="宋体" w:cs="宋体"/>
                <w:i w:val="0"/>
                <w:iCs w:val="0"/>
                <w:color w:val="0D0D0D"/>
                <w:kern w:val="0"/>
                <w:sz w:val="18"/>
                <w:szCs w:val="18"/>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7C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40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33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2025.11-2026.11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A5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9813</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899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项目前期准备中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F5A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办理前期手续并开工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CB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40D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2F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B（项目未申请到中央资金</w:t>
            </w:r>
            <w:r>
              <w:rPr>
                <w:rFonts w:hint="eastAsia" w:ascii="宋体" w:hAnsi="宋体" w:cs="宋体"/>
                <w:i w:val="0"/>
                <w:iCs w:val="0"/>
                <w:color w:val="0D0D0D"/>
                <w:kern w:val="0"/>
                <w:sz w:val="18"/>
                <w:szCs w:val="18"/>
                <w:u w:val="none"/>
                <w:lang w:val="en-US" w:eastAsia="zh-CN" w:bidi="ar"/>
              </w:rPr>
              <w:t>暂</w:t>
            </w:r>
            <w:r>
              <w:rPr>
                <w:rFonts w:hint="eastAsia" w:ascii="宋体" w:hAnsi="宋体" w:eastAsia="宋体" w:cs="宋体"/>
                <w:i w:val="0"/>
                <w:iCs w:val="0"/>
                <w:color w:val="0D0D0D"/>
                <w:kern w:val="0"/>
                <w:sz w:val="18"/>
                <w:szCs w:val="18"/>
                <w:u w:val="none"/>
                <w:lang w:val="en-US" w:eastAsia="zh-CN" w:bidi="ar"/>
              </w:rPr>
              <w:t>不会开工建设）</w:t>
            </w:r>
          </w:p>
        </w:tc>
      </w:tr>
      <w:tr w14:paraId="6F588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AC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03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22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进贤县智慧化园区建设项目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DC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进贤产业园管理委员会</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66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F5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  云</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胡鹏跃</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974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完善园区数字网络基础设施建设，新建智慧园区服务器场所，购置相关软、硬件设备及设施，提升园区管理和服务水平和效率。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EC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95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90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1F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20A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正在进行可研编制</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967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B4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0AB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27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6864F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2BE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8B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7A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进贤五菱宝骏汽车销售有限公司五菱汽车4s店项目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CE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进贤五菱宝骏汽车销售有限公司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C2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30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0F8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拟优化原钢构棚及部分新建钢构建筑棚（长42米宽13米高5.9米）。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19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19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02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2024.12-2025.12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3C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0AE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已经完成平面规划图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558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预计完成钢构建筑棚入使用，销售600台左右，维修保养汽车2000余台次。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5A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34EE">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b/>
                <w:bCs/>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2AB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3416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40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19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77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南昌市进贤县老旧燃气管网更新改造及LNG应急储气气化站建设项目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E2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09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3E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6EA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更新改造老旧市政中央中压天然气管道：dn200PE管道、dn250PE、dn315PE管道支线管道总计约36公里；2.老旧小区燃气带病管道及设施的更新改造：集中改造约7万户老旧居民小区天然气管网及设施。计划更换小区调压设施300个，改造更新低压庭院管、架空管及立管、入户管总计约230公里，更新安装户内安全套件约7万套；3.改建天然气场站：占地面积约50亩，建设立式LNG储罐4个、气化器8个、站房1栋、辅助房1栋、消防系统1套、控制系统1套、工艺管道及其他基建等。4.搭建燃气管网及设施运行管理信息化平台，安装可燃气体浓度监测设备等物联智能感知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CA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63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83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F1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15755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77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A6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完成约2万户居民小区的燃气管道设施的更新改造。</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C4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F02D">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91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B（待领导推动）</w:t>
            </w:r>
          </w:p>
        </w:tc>
      </w:tr>
      <w:tr w14:paraId="40A4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17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CF5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12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南昌五里家乐生态农业发展有限公司农业生态园项目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3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南昌五里家乐生态农业发展有限公司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AB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商务局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BC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DA1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农产品展示：特色种植技术培训：水果、蔬菜分拣及配送。</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10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CD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FE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ED9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2B7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正在规划建设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56D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54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A2EC5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63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B(企业资金暂未到位，确定不了开工时间)</w:t>
            </w:r>
          </w:p>
        </w:tc>
      </w:tr>
      <w:tr w14:paraId="496CE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F9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55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61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进贤县御驾垄数字化大健康产业园建设</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87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0F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66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0BF6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标准厂房，市政道路，医疗培训机构、中医药制剂。</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41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AD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7A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2025.11-2028.08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74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192116</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930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E20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DB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E89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F8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B(前期谋划阶段，明确了不是否会开工建设。)</w:t>
            </w:r>
          </w:p>
        </w:tc>
      </w:tr>
      <w:tr w14:paraId="02C5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0F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BE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40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进贤县冷链物流产业园项目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4E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59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8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2C1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主要建设内容为产品展销中心、产品加工车间、产品冷藏库、办公和后勤配套用房等。用地150亩，建筑面积约100000㎡。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E7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0E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3C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EC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139104</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8DB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申请土地变性</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483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三通一平、部分设备采购</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7F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3C8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85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r>
              <w:rPr>
                <w:rFonts w:hint="eastAsia" w:ascii="宋体" w:hAnsi="宋体" w:cs="宋体"/>
                <w:i w:val="0"/>
                <w:iCs w:val="0"/>
                <w:color w:val="0D0D0D"/>
                <w:kern w:val="0"/>
                <w:sz w:val="18"/>
                <w:szCs w:val="18"/>
                <w:u w:val="none"/>
                <w:lang w:val="en-US" w:eastAsia="zh-CN" w:bidi="ar"/>
              </w:rPr>
              <w:t>暂</w:t>
            </w:r>
            <w:r>
              <w:rPr>
                <w:rFonts w:hint="eastAsia" w:ascii="宋体" w:hAnsi="宋体" w:eastAsia="宋体" w:cs="宋体"/>
                <w:i w:val="0"/>
                <w:iCs w:val="0"/>
                <w:color w:val="0D0D0D"/>
                <w:kern w:val="0"/>
                <w:sz w:val="18"/>
                <w:szCs w:val="18"/>
                <w:u w:val="none"/>
                <w:lang w:val="en-US" w:eastAsia="zh-CN" w:bidi="ar"/>
              </w:rPr>
              <w:t>明确不</w:t>
            </w:r>
            <w:r>
              <w:rPr>
                <w:rFonts w:hint="eastAsia" w:ascii="宋体" w:hAnsi="宋体" w:cs="宋体"/>
                <w:i w:val="0"/>
                <w:iCs w:val="0"/>
                <w:color w:val="0D0D0D"/>
                <w:kern w:val="0"/>
                <w:sz w:val="18"/>
                <w:szCs w:val="18"/>
                <w:u w:val="none"/>
                <w:lang w:val="en-US" w:eastAsia="zh-CN" w:bidi="ar"/>
              </w:rPr>
              <w:t>了</w:t>
            </w:r>
            <w:r>
              <w:rPr>
                <w:rFonts w:hint="eastAsia" w:ascii="宋体" w:hAnsi="宋体" w:eastAsia="宋体" w:cs="宋体"/>
                <w:i w:val="0"/>
                <w:iCs w:val="0"/>
                <w:color w:val="0D0D0D"/>
                <w:kern w:val="0"/>
                <w:sz w:val="18"/>
                <w:szCs w:val="18"/>
                <w:u w:val="none"/>
                <w:lang w:val="en-US" w:eastAsia="zh-CN" w:bidi="ar"/>
              </w:rPr>
              <w:t>是否会开工建设。)</w:t>
            </w:r>
          </w:p>
        </w:tc>
      </w:tr>
      <w:tr w14:paraId="0E2D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F8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E0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64D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进贤城新综合开发有限公司农副产品批发市场建设项目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15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4C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42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0CA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45583.49㎡，总建筑面积97500.00㎡，其中农批市场60000.00㎡，冷链仓储15000.00㎡，服务中心6500.00㎡，不计容地下室16000.00㎡；容积率1.79，建筑密度39.98%，绿地率25.00%，机动车停车位607个。主要建设内容包括土建、装饰、给排水、电气、暖通、消防等工程及室外基础配套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7B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FC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EC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2025.10-2027.08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A1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58518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922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开展前期工作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E05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完成地面工程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0B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600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A3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r>
              <w:rPr>
                <w:rFonts w:hint="eastAsia" w:ascii="宋体" w:hAnsi="宋体" w:cs="宋体"/>
                <w:i w:val="0"/>
                <w:iCs w:val="0"/>
                <w:color w:val="0D0D0D"/>
                <w:kern w:val="0"/>
                <w:sz w:val="18"/>
                <w:szCs w:val="18"/>
                <w:u w:val="none"/>
                <w:lang w:val="en-US" w:eastAsia="zh-CN" w:bidi="ar"/>
              </w:rPr>
              <w:t>暂</w:t>
            </w:r>
            <w:r>
              <w:rPr>
                <w:rFonts w:hint="eastAsia" w:ascii="宋体" w:hAnsi="宋体" w:eastAsia="宋体" w:cs="宋体"/>
                <w:i w:val="0"/>
                <w:iCs w:val="0"/>
                <w:color w:val="0D0D0D"/>
                <w:kern w:val="0"/>
                <w:sz w:val="18"/>
                <w:szCs w:val="18"/>
                <w:u w:val="none"/>
                <w:lang w:val="en-US" w:eastAsia="zh-CN" w:bidi="ar"/>
              </w:rPr>
              <w:t>明确不</w:t>
            </w:r>
            <w:r>
              <w:rPr>
                <w:rFonts w:hint="eastAsia" w:ascii="宋体" w:hAnsi="宋体" w:cs="宋体"/>
                <w:i w:val="0"/>
                <w:iCs w:val="0"/>
                <w:color w:val="0D0D0D"/>
                <w:kern w:val="0"/>
                <w:sz w:val="18"/>
                <w:szCs w:val="18"/>
                <w:u w:val="none"/>
                <w:lang w:val="en-US" w:eastAsia="zh-CN" w:bidi="ar"/>
              </w:rPr>
              <w:t>了</w:t>
            </w:r>
            <w:r>
              <w:rPr>
                <w:rFonts w:hint="eastAsia" w:ascii="宋体" w:hAnsi="宋体" w:eastAsia="宋体" w:cs="宋体"/>
                <w:i w:val="0"/>
                <w:iCs w:val="0"/>
                <w:color w:val="0D0D0D"/>
                <w:kern w:val="0"/>
                <w:sz w:val="18"/>
                <w:szCs w:val="18"/>
                <w:u w:val="none"/>
                <w:lang w:val="en-US" w:eastAsia="zh-CN" w:bidi="ar"/>
              </w:rPr>
              <w:t>是否会开工建设。)</w:t>
            </w:r>
          </w:p>
        </w:tc>
      </w:tr>
      <w:tr w14:paraId="617AE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24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30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D7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进贤县预制菜加工产业园项目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E09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38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国投公司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2F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赵雪艳</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F9B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700多亩的种植基地以及16亩的加工厂。</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2D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B0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55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63E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26557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551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制定可研报告</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8E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三通一平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A6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146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C4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r>
              <w:rPr>
                <w:rFonts w:hint="eastAsia" w:ascii="宋体" w:hAnsi="宋体" w:cs="宋体"/>
                <w:i w:val="0"/>
                <w:iCs w:val="0"/>
                <w:color w:val="0D0D0D"/>
                <w:kern w:val="0"/>
                <w:sz w:val="18"/>
                <w:szCs w:val="18"/>
                <w:u w:val="none"/>
                <w:lang w:val="en-US" w:eastAsia="zh-CN" w:bidi="ar"/>
              </w:rPr>
              <w:t>暂</w:t>
            </w:r>
            <w:r>
              <w:rPr>
                <w:rFonts w:hint="eastAsia" w:ascii="宋体" w:hAnsi="宋体" w:eastAsia="宋体" w:cs="宋体"/>
                <w:i w:val="0"/>
                <w:iCs w:val="0"/>
                <w:color w:val="0D0D0D"/>
                <w:kern w:val="0"/>
                <w:sz w:val="18"/>
                <w:szCs w:val="18"/>
                <w:u w:val="none"/>
                <w:lang w:val="en-US" w:eastAsia="zh-CN" w:bidi="ar"/>
              </w:rPr>
              <w:t>明确不</w:t>
            </w:r>
            <w:r>
              <w:rPr>
                <w:rFonts w:hint="eastAsia" w:ascii="宋体" w:hAnsi="宋体" w:cs="宋体"/>
                <w:i w:val="0"/>
                <w:iCs w:val="0"/>
                <w:color w:val="0D0D0D"/>
                <w:kern w:val="0"/>
                <w:sz w:val="18"/>
                <w:szCs w:val="18"/>
                <w:u w:val="none"/>
                <w:lang w:val="en-US" w:eastAsia="zh-CN" w:bidi="ar"/>
              </w:rPr>
              <w:t>了</w:t>
            </w:r>
            <w:r>
              <w:rPr>
                <w:rFonts w:hint="eastAsia" w:ascii="宋体" w:hAnsi="宋体" w:eastAsia="宋体" w:cs="宋体"/>
                <w:i w:val="0"/>
                <w:iCs w:val="0"/>
                <w:color w:val="0D0D0D"/>
                <w:kern w:val="0"/>
                <w:sz w:val="18"/>
                <w:szCs w:val="18"/>
                <w:u w:val="none"/>
                <w:lang w:val="en-US" w:eastAsia="zh-CN" w:bidi="ar"/>
              </w:rPr>
              <w:t>是否会开工建设。)</w:t>
            </w:r>
          </w:p>
        </w:tc>
      </w:tr>
      <w:tr w14:paraId="7237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86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69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65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包装PET片材生产项目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2C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湖北志成新材料科技有限公司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891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36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153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用地面积100亩，总建设面积50000平方，拟生产包装PET片材，预计年产量3万吨，年产值3.6亿元，预计年纳税额2000万元。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88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BA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F5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17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9DB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初步商谈投资意向</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3C3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预计完成生产车间一个、物料堆放场地一个、行政楼办公大楼一栋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BB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6E8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AF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B（属于规划区内，用地指标未落实）</w:t>
            </w:r>
          </w:p>
        </w:tc>
      </w:tr>
      <w:tr w14:paraId="4818F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09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D0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27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进贤县盛洋宾馆建设项目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A6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江西盛洋钢铁有限公司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31D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云桥街办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CC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352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总用地面积约2626.68平方米，总建筑面积5000平方米，建设一栋5层的框架结构宾馆，预计年营收1000万元。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CB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224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EC3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D47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1654</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0CB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初步商谈投资意向</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997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预计完成前期手续办理并开工建设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A6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9B6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59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B（属于规划区内，用地指标未落实）</w:t>
            </w:r>
          </w:p>
        </w:tc>
      </w:tr>
      <w:tr w14:paraId="10436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D1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A4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7FE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南昌思创企管策划数字化转型服务中心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84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南昌思创企管策划有限公司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B5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商务局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34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BDF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项目总用地面积7.7亩，总建筑面积3500平方米，计划建设总部大楼1栋。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D8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E0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B2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5D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CAF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正在编制平面规划图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A4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完成总部大楼建设并投入使用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03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AA6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b/>
                <w:bCs/>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F6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B（土地问题正在调规，不能确定是否能开工。）</w:t>
            </w:r>
          </w:p>
        </w:tc>
      </w:tr>
      <w:tr w14:paraId="2EF5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94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6D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325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江林智能装备公司装配式钢结构石油化工智能装备制造厂项目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9A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江林智能装备公司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45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民和街办</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19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徐永钢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熊伊晖</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613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总建筑面积21800㎡。主要外购不锈钢及碳钢为原材料进行切割，卷圆或压型后进行拼接、组立、矫正、焊接、抛丸、表面防腐生产工艺，项目建成投产后好可形成年产1万吨生产规模。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D0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72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37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D4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3A2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正在报批项目建设用地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B8B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完成单层钢结构厂房一9000㎡、厂房二11520㎡建设；完成综合楼1200㎡、保安室80㎡建设；采购设备并投入生产。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85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905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AE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B（用地指标未落实）2025.06-2025.12</w:t>
            </w:r>
          </w:p>
        </w:tc>
      </w:tr>
      <w:tr w14:paraId="2CDB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02D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AE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74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进贤县三里乡光辉村“十四五”重点帮扶水产培育研发加工基地项目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F7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进贤县凯超农业开发有限公司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23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三里乡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8C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9FB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黄鳝研发中心，黄鳝初加工车间，冻库，包装车间，网络营销中心，产品展厅，黄鳝检测中心，黄鳝深加工厂。</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18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228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43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21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4FE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正在办理前期手续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09C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完成黄鳝研发中心，初加工车间，冻库，包装车间，网络营销中心，产品展厅，黄鳝检测中心，黄鳝深加工厂建设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E45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BBF0">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C4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B(正在争取上级资金，开工时间不能确定。)</w:t>
            </w:r>
          </w:p>
        </w:tc>
      </w:tr>
      <w:tr w14:paraId="3DF61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94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D7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39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进贤县青岚湖湿地公园景区提升改造项目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43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进贤县金沙湾实业发展有限公司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F7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文广局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C8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DD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建设内容包含沿湖栈道提升改造、沿湖护坡、7.5公里水系进行清淤及生态驳岸、绿化建设、停车场沿石、路面修复提升，以及景区的游步道、路灯等基础设施提升改造。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84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AF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E7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7C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DCA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正在编制可研和初步设计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EE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 xml:space="preserve"> </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4D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E11A">
            <w:pPr>
              <w:keepNext w:val="0"/>
              <w:keepLines w:val="0"/>
              <w:pageBreakBefore w:val="0"/>
              <w:widowControl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b/>
                <w:bCs/>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83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B(专项债资金)</w:t>
            </w:r>
          </w:p>
        </w:tc>
      </w:tr>
      <w:tr w14:paraId="20D56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1EA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B0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44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江西誉信电子有限公司（志博信）年产1500万平方米高多层线路板项目（二期）</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D5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江西誉信电子有限公司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E9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CB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A36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占地150亩，计划投资20亿元，新建3栋混</w:t>
            </w:r>
            <w:r>
              <w:rPr>
                <w:rFonts w:hint="eastAsia" w:ascii="宋体" w:hAnsi="宋体" w:cs="宋体"/>
                <w:i w:val="0"/>
                <w:iCs w:val="0"/>
                <w:color w:val="0D0D0D"/>
                <w:kern w:val="0"/>
                <w:sz w:val="18"/>
                <w:szCs w:val="18"/>
                <w:u w:val="none"/>
                <w:lang w:val="en-US" w:eastAsia="zh-CN" w:bidi="ar"/>
              </w:rPr>
              <w:t>凝</w:t>
            </w:r>
            <w:r>
              <w:rPr>
                <w:rFonts w:hint="eastAsia" w:ascii="宋体" w:hAnsi="宋体" w:eastAsia="宋体" w:cs="宋体"/>
                <w:i w:val="0"/>
                <w:iCs w:val="0"/>
                <w:color w:val="0D0D0D"/>
                <w:kern w:val="0"/>
                <w:sz w:val="18"/>
                <w:szCs w:val="18"/>
                <w:u w:val="none"/>
                <w:lang w:val="en-US" w:eastAsia="zh-CN" w:bidi="ar"/>
              </w:rPr>
              <w:t>土车间，建筑面积7万平方米，建设1栋倒班房，建筑面积3200平方米。安装40条柔性线路板生产线。</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F2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2A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76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2025.12-2027.12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E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4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正在土地组卷</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2B3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土地办证、规划报建、土方平整</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4D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3E3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26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24DA5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59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F2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315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进贤县流岭体育公园</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10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89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3D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52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整体项目占地面积约2000亩。建设内容包括园林绿化、地形整理、绿道建设、绿化种植、园林景观、园林小品、休息坐椅等；市政设施：道路摊铺、给水工程、污水工程、海绵城市系统及喷灌系统；体育设施：建设篮球场2处，羽毛球场3处、标准足球场1处，五人制足球场2处，小型健身游步道约3千米，以及相关附属设施；照明工程：照明灯具、变压器及配套线路等；弱电工程：主要包括监控系统、操作台、停车场管理系统及智能道闸、弱电配电箱、网络高清红外摄像机等；停车位设置约500个；广告牌500个；充电桩180个；观光游览车：采购观光游览车10辆。</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68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28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5C1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C1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26800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89F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C81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完成前期手续的办理及地形整理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E8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465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8C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531A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78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54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4B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进贤县2025年农贸市场建设工程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AC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60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AB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BF5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面积20000平方，总建筑面积16000平方米，其中活禽市场建筑面积13000平方米，市场分为活禽交易、屠宰区、集活禽检疫、冷链于一体；仓库建筑面积1000平方；停车场面积2000平方；公厕2座160平方；检测检疫用房200平方；1座垃圾中转站500平方。主要建设内容包括土建工程、、给排水工程、电气工程、消防工程及室外道路、绿化、水电工程等其他配套基础设施。</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DC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26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568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E0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ED4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10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完成土建工程、室外道路等其他配套基础设施10%。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A8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9C8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4F0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0EC4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6E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7A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5C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进贤县磨盘洲湿地公园坡岸生态治理项目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96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F1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E6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D0A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5"/>
                <w:szCs w:val="15"/>
                <w:u w:val="none"/>
                <w:lang w:val="en-US" w:eastAsia="zh-CN" w:bidi="ar"/>
              </w:rPr>
              <w:t>主要建设内容及规模：整体项目面积约49.5公顷，陆地面积22公顷，湿地面积27.5公顷。建设内容：1、公园植被、沿岸水生植物修复、绿化种植、土方回填、园林小品设施修复。2、市政设施：公园东侧道路修复及摊铺、公园内铺装修复、给水工程修复、污水工程改造、增加喷灌系统。3、照明工程：照明灯具及配套线路等。5、弱电工程：监控系统、操作台、停车场管理系统及智能道闸、弱电配电箱、网络高清红外摄像机等。6、停车位：原停车场地改造升级，增设充电桩20个。7、建设游船码头一处。8、湿地公园演播厅一处。9。坡岸治理约600米、二坡栈道建设约400米，10、水位控制泵站一座。11、拱桥一座。12、其它配套工程：包括公园内部道路修复，已有建筑物立面修复、休息驿站修复等相关工程建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42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13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2B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E8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3600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7C7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项目前期谋划阶段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FDB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完成前期手续的办理并开工建设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08A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2C8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9C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30BC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D4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56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C5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进贤县重点圩堤提质升级工程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3D8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B5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F4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140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拟对军山湖联圩、抚东大堤、信西联圩提质升级，主要建设内容包括培土加固、填塘压浸、涵闸加固、新建防洪亭等。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53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92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F9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2025.10-2028.12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8F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22800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96E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由省厅河湖处推进，已经完成可研。</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57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86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517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CD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13CCB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FC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4D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D4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进贤县县域小型引调水工程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47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96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50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45A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新建高桥水厂备用水源，扩建军山湖水厂（二期）及乡镇水厂互联至通供水管网，新建民和街办，未通水村组官网90.8km，新建9套集成式加压泵站。</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C6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18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4C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B6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12659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2A2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可行性研究和初步设计已经完成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B9E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57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E1F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A2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7EA85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051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0F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2D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进贤县紧密型医共体中医药服务能力提升项目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80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BA6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31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88A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增强中医药服务能力，完善服务体系，促进中医药文化传承与创新，需购置一批中医药诊疗设备，约5千万元；需建设一幢三层约1800㎡的中医综合服务楼，约1千万元；建设中药制剂室，约4千万元；院内制剂临床研究申报300万元，信息化体系建设约2千万元，总投资1.23亿元，拟争取中央预算内资金7380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61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7E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6C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F6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12300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EEF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885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8A3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8F2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E3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298C2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A3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B9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9F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进贤县医疗设备更新项目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06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11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33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025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医疗卫生领域设备更新均为以旧换新，淘汰、更新设备195台（套）。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37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0C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8D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2025.01-2026.01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EC2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11764</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8DA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E08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68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BAD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D7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5D6C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F2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3F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75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进贤县总医院服务能力功能提升改造工程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E4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7FC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10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D62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改造面积为67664平方米，总床位数为1060。主要改造内容：一是将住院大楼多人间病房改造2-3人间及单人间，并进行卫生间改造，供电、供水、供暖、新风系统及其他线路硬件设施改造等，改善病房环境；二是对现有医疗设备及办公家具更新。其中：1.进贤县人民医院提升改造，床位数为680，对现有建筑面积50000平方米进行提升改造；2.进贤县中医院提升改造，床位数为320，对现有建筑面积14600平方米进行提升改造；3.进贤县妇幼保健院提升改造，床位数为60，对现有建筑面积3064平方米进行提升改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AC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FA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E8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9A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033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DE2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F9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2E5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F2F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611F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38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BA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69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进贤县公办托育服务能力提升项目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5E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FF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72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506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县托育综合服务中心（150个托位），建筑面积为：2638.77㎡；室外活动场地面积为：2116㎡；2、县中医院托育服务中心（100个托位），建筑面积为1375.63㎡，室外活动场地面积为962㎡；3、进贤一中托育服务中心（100个托位），建筑面积为1293.19㎡，室外活动场地面积为1340.94㎡；4、进贤实验学校托育服务中心（90个托位），建筑面积为1155.12㎡，室外活动场地面积为842.88㎡。主要建设内容包括建筑装修改造、给排水、强弱电、暖通、消防、设备采购及室外活动场地建设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2F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34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CE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73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4100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C66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已完成立项，正在做可研报告。</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6C1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693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C63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51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524F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13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49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37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进贤县马咀圩涝区排涝能力建设项目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1F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76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CB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279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整治撇洪沟及渠道长度38.09km、整治及新建涵闸20座等。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26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5A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6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79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3980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A5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正在筹备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68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8C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CBC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2D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B类（项目处于谋划阶段，不能确定上级资金是否能落实。）</w:t>
            </w:r>
          </w:p>
        </w:tc>
      </w:tr>
      <w:tr w14:paraId="3FC64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21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56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CFB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南昌辉宁精神病专科医院项目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17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三里乡政府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8B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三里乡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85D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徐  强</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付国成</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2B1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项目用地约50亩， 总建筑面积约1.3万平方米，地下建筑面积2500平方米。项目建成后能满足周边就近入院治疗350张床位的一所国家标准二级专科精神病医院。</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CB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改扩建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04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78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F4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C98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项目前期筹备工作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D01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完成整个医院的改建和扩建工程以及各种医疗设备安装，并投入使用。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5C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BE8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B7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6F26A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65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32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F8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进贤县总医院三里卫生院次中心血防办公楼纪念馆及广场建设项目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064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D0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E4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63F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项目主要内容包括科室设置、医疗设备配置（新增）、服务能力辅助配置，新建血防纪念馆、血防广场、停车场。</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50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D0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0B0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2025.05-2026.05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DE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183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648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87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42B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4A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03AF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A6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F3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4C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进贤县信西联圩涝区排涝能力建设项目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3C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34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F1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761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整治撇洪沟及渠道长度41.30km、整治及新建涵闸4座等。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A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9D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58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E7D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2932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54A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正在筹备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7A2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00B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B7F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71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50EA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4D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3F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7A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进贤县疾控中心实验室设备购置项目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810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664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卫健委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03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邹忠文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舒  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C37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该项目需配套更新仪器设备125台（套）预计1000.3万元，同时申请新增办公器材202套，预计8万元，仪器设备和新增办公器材两项预算合计1008.3万元。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DB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A9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08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2025.01-2026.01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F1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2004</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412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030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基本完成50%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9D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8D3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7B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402C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C9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AA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D8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进贤县涝区排涝能力建设项目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09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9F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EE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D11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民和街道渠道清泥、箱涵改造、建筑物拆除重建，温圳镇渠道12.5km衬砌等。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39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B87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0E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69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1930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374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正在筹备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5F1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C3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82B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57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1364B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43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AF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F2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罗溪湖中型灌区续建配套工程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20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33E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65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831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水源工程、渠道工程、渠系建筑物工程，改善灌溉面积0.95万亩。</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76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740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6E1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CD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1359</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A3D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初步设计已经编制完成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3BE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35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DAB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E2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20F7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D7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BD0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55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军山湖联圩一号泄水闸等四座水闸除险加固工程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46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77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86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D0D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军山湖Ⅰ号闸、Ⅱ号闸、英山闸、潼家池闸共4座水闸进行维修加固或拆除重建。</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17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26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66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21D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1300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221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正在编制可研和初步设计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828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E7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031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BC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73235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A87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B7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146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12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进贤县青岚联圩涝区排涝能力建设项目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37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BE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水利局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34F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吴克清</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0E5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整治撇洪沟及渠道长度7.20km、整治及新建涵闸4座等。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AE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C7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42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7A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1266</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651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正在筹备</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CA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完成前期手续办理，并开工建设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2A6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A2C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56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B类（不能确定上级资金是否能落实。）</w:t>
            </w:r>
          </w:p>
        </w:tc>
      </w:tr>
      <w:tr w14:paraId="18451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50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2A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188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D9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高职院校新建工程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28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92E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教体局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DF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AD7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校舍约60万平方米、运动场、围墙校门等附属工程。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CE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11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5E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95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5F9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规划方案编制</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4B3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建筑主体完成50%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6B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B17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91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B类（不能确定是否能落地。）</w:t>
            </w:r>
          </w:p>
        </w:tc>
      </w:tr>
      <w:tr w14:paraId="14C4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EE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E7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81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进贤县城乡垃圾压缩站提升改造工程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D8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00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3F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993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全县17个乡镇垃圾压缩转运站，拆除原有基建重建15个，提升改造2个；新建建筑面积2722.19平方米，改造建筑面积207.93平方米；配套建设生活垃圾收转运实施设备、拆除工程及室外工程等，日处理量合计大于335吨。</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30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D0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80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94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758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可研评审阶段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3CF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完成17个乡镇垃圾压缩站工作用房、钢结构操作棚、压缩站道路、场地硬化等建设基础2930.12平方米；17套生活垃圾收转处理设备安装完成。</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D4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848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09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B类（项目资金还未落实）</w:t>
            </w:r>
          </w:p>
        </w:tc>
      </w:tr>
      <w:tr w14:paraId="4477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4E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6DB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5D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2025年省级黑芝麻重点县项目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33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江西省进贤县粮友绿色食品有限公司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4A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AC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B8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建设黑芝麻深加工生产车间6000平方米；黑芝麻原料加工生产线技术改造1条；购置芝麻饼、丸生产线1条。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DB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A54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2F8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29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95F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正在编制项目申报书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0A9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完成深加工生产车间建设，购置芝麻饼、丸生产线1条并投产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39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1700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F26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5F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B类（项目资金还未落实）</w:t>
            </w:r>
          </w:p>
        </w:tc>
      </w:tr>
      <w:tr w14:paraId="14E4D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DD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944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BF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进贤县封闭式小区智慧安防建设项目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D5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进贤县住房保障中心</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89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住房保障中心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8CC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64E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全县88个封闭式小区智慧安防升级扩建。</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12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19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0D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B0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346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前期谋划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6E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完成部分改造</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F7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DAAC">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D0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B类（正在争取上级资金</w:t>
            </w:r>
            <w:r>
              <w:rPr>
                <w:rFonts w:hint="eastAsia" w:ascii="宋体" w:hAnsi="宋体" w:cs="宋体"/>
                <w:i w:val="0"/>
                <w:iCs w:val="0"/>
                <w:color w:val="0D0D0D"/>
                <w:kern w:val="0"/>
                <w:sz w:val="18"/>
                <w:szCs w:val="18"/>
                <w:u w:val="none"/>
                <w:lang w:val="en-US" w:eastAsia="zh-CN" w:bidi="ar"/>
              </w:rPr>
              <w:t>）</w:t>
            </w:r>
          </w:p>
        </w:tc>
      </w:tr>
      <w:tr w14:paraId="6A082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DC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9E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B1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进贤县公安局执法办案中心提升改造工程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4F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公安局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43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公安局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1C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BB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总面积3526平方米，内容包括在现有基础上对整个执法办案智能化管理系统、信息化系统、办案设备进行升级。</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AE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C6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5A9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97E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2045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C7A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初步概算</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9D9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E23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2045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7FC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7AB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B类（正在争取上级资金）</w:t>
            </w:r>
          </w:p>
        </w:tc>
      </w:tr>
      <w:tr w14:paraId="3850A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86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1EB9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A3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进贤县乡镇养老服务中心项目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1A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民政局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84E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民政局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21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48E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乡镇养老服务中心项目包括下埠集乡养老院、李渡镇养老院、三里乡养老院、温圳镇养老院、前坊镇养老院、三阳集乡养老院、张公镇养老院、钟陵乡养老院等8个养老院，其中新建建筑面积22571.81㎡、改造提升面积39096.52㎡;床位数696床，停车位207个，充电桩25个，广告宣传栏21个;主要建设内容包括新建建筑工程、道路硬化及基础设施工程、室内外装修、新建围墙、停车位建设及原建筑装修改造、消防改造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7D6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FE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2F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C3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10D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完成可研</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6A0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主要建设内容包括新建建筑工程、道路硬化及基础设施工程、室内外装修、新建围墙、停车位建设及原建筑装修改造、消防改造等。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D5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1AB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13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p>
        </w:tc>
      </w:tr>
      <w:tr w14:paraId="7A22C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98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D7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72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江西正群养殖有限公司蛋鸡养殖项目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B89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江西正群养殖有限公司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71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张公镇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89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9C8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项目总用地面积110亩，拟一期建设占地面积50亩（其中：蛋鸡养殖棚鸡及仓库12栋，每栋占地面积1443.22平方；综合办公楼1栋440.89平方，职工宿舍1栋440.89平方，场区道路硬化及绿化4109.69平方。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39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12C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46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719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7F4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招商引资项目、筹备中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8D7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64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F8C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8E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p>
        </w:tc>
      </w:tr>
      <w:tr w14:paraId="3B2C3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04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15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4A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进贤县军山湖水厂饮用水源保护区规范化建设及其污染治理项目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1D4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城管局 （生态环境局申报）</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603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生态环境局</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城管局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E7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曾  晋</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cs="宋体"/>
                <w:i w:val="0"/>
                <w:iCs w:val="0"/>
                <w:color w:val="0D0D0D"/>
                <w:kern w:val="0"/>
                <w:sz w:val="18"/>
                <w:szCs w:val="18"/>
                <w:u w:val="none"/>
                <w:lang w:val="en-US" w:eastAsia="zh-CN" w:bidi="ar"/>
              </w:rPr>
              <w:t>高  珊</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577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内容为饮用水源地规范化建设的设施、设备及污染物削减工程。对军山湖饮用水源地开展规范化建设，配套建设防护网、标示标牌、监控系统等，同时，对饮用水源地周边的污染源进行治理。预计在军山湖饮用水源保护区内建设约20个农村生活污水处理系统及其配套污水管网建设，总处理量为300m³/d。</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D2C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DF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65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2025.11-2026.11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8B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866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项目前期准备中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C1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办理前期手续并开工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71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A37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74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B类（未申请到中央资金将不会开工建设）</w:t>
            </w:r>
          </w:p>
        </w:tc>
      </w:tr>
      <w:tr w14:paraId="772B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C8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88C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FA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社区居家养老服务网络建设项目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8C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民政局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F7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民政局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6C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陈灵燕</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493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幸福港、滨湖、育贤、青岚、岚湖等社区城市助餐点以及农村一老一小幸福院。总床位数约50张，建设面积2200㎡。主要利用村民活动中心、村小学等闲置乡村资源建设一批农村一老一小幸福院，完善养老服务和村（社区）服务的公共设施。为老年人提供便利的助餐、助娱、助学服务和活动空间。</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5A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1D4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A5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A62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3BF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前期谋划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CE2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利用村民活动中心、村小学等闲置乡村资源建设一批农村一老一小幸福院，完善养老服务和村（社区）服务的公共设施。为老年人提供便利的助餐、助娱、助学服务和活动空间</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52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344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b/>
                <w:bCs/>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71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p>
        </w:tc>
      </w:tr>
      <w:tr w14:paraId="637EA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739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2B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71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江西科信实业有限公司钢结构生产车间改扩建项目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7A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江西科信实业有限公司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D5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张公镇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38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C2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项目总用地面积14000平方米，总建筑面积约13000平方米。项目建成后，可形成年产钢结构1万吨。</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D0D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493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949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2025.02-2025.12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C5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A16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筹备中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6EA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完成钢结构生产车间建设，并投产。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E25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4EF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A2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p>
        </w:tc>
      </w:tr>
      <w:tr w14:paraId="0F79B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812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AC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27F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江西鸿特再生资源回收项目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2C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江西鸿特再生资源有限公司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291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张公镇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产业园</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AB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聂红兵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安文生</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67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建筑面积不少于3200平方米，购置剪切设备（1台），分离设备（2台），破碎设备（1台）清洗设备（1台）包装设备（2台）环保设备（1台），安全设施设备，环保设施设备，辅助设备。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E9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C99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13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1E5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4F9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已在园区内租用厂房</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159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完成厂房建设并生产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BC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E30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D6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362E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4F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21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C57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进贤县农资储备仓库园</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B9D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进贤县供销合作社联合社</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C3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供销社</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5D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F4D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建设规划农资（储备）仓库20000㎡、物流集配12000㎡；建设集仓储、农产品交易市场、物流配套功能于一体的农资储备仓库项目，发挥农资龙头企业带动作用。</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219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A4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D0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06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53A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筹备阶段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125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完成地基等基础建设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8B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3E1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57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（土地及项目资金不足）</w:t>
            </w:r>
          </w:p>
        </w:tc>
      </w:tr>
      <w:tr w14:paraId="67E92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012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CC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90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进贤县国家储备林建设项目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C10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农文旅</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E1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林业局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FB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782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建设内容主要包括集约人工林栽培、现有林改培、中幼林抚育、林下经济（套种）及等；建设总规模为10.0万亩，均为赎买集体商品林经营。赎买主要是在全县重点林区乡镇的集体商品用材林地中，选择立地条件较好的商品林，采取赎买（租赁）方式购（租）回国有经营，用于新造林或进行改造培育。</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E4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225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97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2025.10-2028.12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5E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103078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834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正在办理前期手续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113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油茶新造2900亩，湿地松新造800亩，较慢生珍稀用材树种新造600亩，现有针叶林套种楠木等4300亩，现有其他林综合改培5500亩，油茶改培3000亩，中幼林抚育2900亩，林下经济（套种）200亩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D0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2099">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99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B类：前期谋划项目（存在项目资金等问题）</w:t>
            </w:r>
          </w:p>
        </w:tc>
      </w:tr>
      <w:tr w14:paraId="7321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12A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B1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F00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进贤县2025年度森林草原防火项目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40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林业局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1A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林业局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DC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645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林火早期处置、预警监测系统两方面建设的需求，包括风力灭火机、二号工具、割灌机、油锯、运兵皮卡车、指挥车等扑救物资设备，以及在森林火灾高风险区建设森林火险预警监测系统，同时完善建设监测中心及升级完善森林防火监测系统等内容。</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200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40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F94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E44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2181</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98A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完成了项目设计招标，</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进入设计阶段。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E42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林火早期处置、预警监测系统两方面建设的需求，包括风力灭火机、二号工具、割灌机、油锯、运兵皮卡车、指挥车等扑救物资设备，以及在森林火灾高风险区建设森林火险预警监测系统，同时完善建设监测中心及升级完善森林防火监测系统等内容。</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33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2181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63E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4A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B类：前期谋划项目（存在项目资金等问题）</w:t>
            </w:r>
          </w:p>
        </w:tc>
      </w:tr>
      <w:tr w14:paraId="5FE6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80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E5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6F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进贤县产业算力中心建设项目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A7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大数据中心</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0F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大数据中心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54F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99C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围绕我县2+1+N产业发展体系，项目主要建设人工智能计算中心、资源管理平台、人工智能生态创新中心、算力产业基地，采用“一基地四中心”的模式（一基地为项目的载体算力产业基地，四中心为运营中心、赋能中心、应用中心和人才培养中心），构建算力产业落地体系，实现区域算力资源的普惠供给，助力打造以“用”为导向的“算力+”产业生态，推动算力产业链供应链协同发展。</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80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19E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FB7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2025.12-2027.11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69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660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项目申报中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2F4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项目申报中央预算内投资重点专项资金解决，并实施项目建设，完成工程量61%。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1A1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BF1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9F6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B类：前期谋划项目（未开始申报落实项目资金）</w:t>
            </w:r>
          </w:p>
        </w:tc>
      </w:tr>
      <w:tr w14:paraId="10DB5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10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033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54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政务服务增值化提升项目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D9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政数局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78C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政数局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9B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钱太高</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郦  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E3E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帮办代办平台、企业增值化服务智能导办及宣传推广、数字人大模型的智能客服与一体机、“赣通码”一码通用、政务大数据领导驾驶舱、政务晓屋、一纸通办、本地特色电子印章应用场景、政务大厅机房改造、智能填表中心及智能填表机、县乡综窗服务外包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38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8A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65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2025.03-2026.09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F6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2860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F65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正在准备前期设计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46A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完成项目设计、立项等前期相关手续，完成项目建设内容的50%。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004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E092">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137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B类前期谋划项目</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（存在项目资金未明确）</w:t>
            </w:r>
          </w:p>
        </w:tc>
      </w:tr>
      <w:tr w14:paraId="496B3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34F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AF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C3E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进贤县白圩乡耕地改造提升项目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9C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江西北良农业发展有限公司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DE6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A7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61F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拟在白圩乡范围内流转1万亩左右旱地、林地、园地等非农田土地，并对土地进行平整、翻耕、土壤改良等工程，新建沼液管道入地系统。</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00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C8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47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741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CDC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已选址，正在梳理地面附着物情况。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2DC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平整、翻耕、土壤改造，新建沼液入地系统。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06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6AB8">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DE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B（白圩乡政府推动流转林地、旱地，北良公司正在筹集资金）</w:t>
            </w:r>
          </w:p>
        </w:tc>
      </w:tr>
      <w:tr w14:paraId="0BF6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098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39E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3B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进贤县白圩乡农田质量提升项目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BD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B2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农经集团</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68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9CE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拟对白圩乡2万亩水田进行富硒化改造，平整、翻耕、土壤改良，并完善沟渠、灌溉等水系工程。</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8F1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243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E63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20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654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已选址，正在梳理地面附着物情况。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823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平整、翻耕、土壤改良，完善水系工程。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383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42B4">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005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B（白圩乡正在推动流转农田，农经集团正在筹集项目资金）</w:t>
            </w:r>
          </w:p>
        </w:tc>
      </w:tr>
      <w:tr w14:paraId="0F746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39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DC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AE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进贤县白圩乡粮食仓储物流设施建设项目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D0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白圩乡政府</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8B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农经集团</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C8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7B7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用地面积约19323.44㎡，总建筑面积11979㎡，主要建设内容包括平房仓、仓库罩棚、消防水池、药品库、门卫等建、构筑物建设，配套的给排水、消防、强弱电、暖通、工艺设备及室外道路、硬化、绿地、围墙、大门、土方工程、综合管线等室外基础配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A2B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0E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F5C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EE6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9800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76A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已选址，正在进行村庄规划。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4FB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平整场地，完成首期2万吨容量仓库建设。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0E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4000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0E9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AC3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B前期谋划（已完成规划编制，土地正在收储中）</w:t>
            </w:r>
          </w:p>
        </w:tc>
      </w:tr>
      <w:tr w14:paraId="5C3F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86F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3E5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126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9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江西传承食品有限公司牛羊交易、屠宰及加工项目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FD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江西传承食品有限公司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AA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农业农村局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82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5B3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总建筑面积21610 平方米，一期新建大型肉牛交易场地10000 平方米、羊交易场地3100 平方米， 冷库1 座1400 平方米，牛屠宰生产线1 条，羊屠宰生产线3条6000 平方米，综合办公楼2000 平方米及其配套设施；二期新建牛羊熟食品无菌加工车间1 栋3200 平方米，并购置相应设备及工器具等。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B8B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A91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A58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2025.07-2026.12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5A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25F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已选址白圩乡赵家马鞍山，正在洽谈土地出让事宜。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6E5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2025年上半年完成土地转让事宜，年内完成肉牛、羊场地基础建设。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24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3000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000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D38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B前期谋划（正在编制村庄规划，同步梳理闲置土地权属）</w:t>
            </w:r>
          </w:p>
        </w:tc>
      </w:tr>
      <w:tr w14:paraId="6746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A3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CE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01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南昌张公110kV输变电工程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3D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国网南昌供电分公司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52F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80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7D8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本工程新建110千伏变电站一座，新建2台50MVA主变。改造线路路径长1.2km，新建线路路径长度15.87km，其中架空14.7km，电缆1.17km。</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E9E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5B9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07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2025.10-2027.05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06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11117</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BE24">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已完成项目核准以及用地预审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C8A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完成三通一平，土建部分工程量</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362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9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拟报市重大重点项目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CA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103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8F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1EE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58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南昌瀚东建材有限公司建筑骨料生产项目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18D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南昌瀚东建材有限公司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79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钟陵镇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AD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叶  飞</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郑  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F27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建设地点在进贤县钟陵二塘村委会楼下村，占地面积60亩，总建筑面积44000平方米，其中生产车间12000平方米、辅助车间5000平方米、仓储设施；25000平方米（原料仓库和成品仓库）、办公用房2000平方米以及其他相关配套设施。设备主要包括水泵、破碎机、压滤机、电动机、振动筛、洗沙机、脱水机、储泥罐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B22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E3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17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357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C30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环评已完成、变压器正在安装目前正在与政府沟通意向合同签订</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F3E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79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C6C3">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46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49BB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A95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233</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2C6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C95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南昌市金香画材公司年产DIY画材、美术用品10万套厂房新建项目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A5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南昌市金香画材公司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161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50A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FC6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建设生产厂房，占地面积6000平米，建设三栋厂房，建筑面积16000平米。</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C88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1D2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FA3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EE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857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前期谋划，正在进行项目报批及规划设计。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2C5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建设生产厂房，占地面积6000平米，建设三栋厂房，建筑面积16000平米，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EA6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9F5B">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DD8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465B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C8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234</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80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C9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江西省高氏林牧发展有限公司肉牛养殖项目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DF3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江西省高氏林牧发展有限公司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5D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下埠集镇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90A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高  波</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段龙根</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034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项目建设位于下埠集镇港东村，总占地面积20亩，总建筑面积4000多平米，其中建设4个牛棚，2个饲料间，1间处理房，1间管理房，项目建成后形成90头肉牛养殖能力。</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70D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DF2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A8B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2025.01-2025.12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10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9B85">
            <w:pPr>
              <w:keepNext w:val="0"/>
              <w:keepLines w:val="0"/>
              <w:pageBreakBefore w:val="0"/>
              <w:widowControl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CB27">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60F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4C2CF7">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5C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28C9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EE0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235</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4F8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76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南昌前途110千伏主变增容工程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2FE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国网南昌供电分公司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7C2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20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14D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新建南昌前途110千伏变电站1号主变由31.5MVA增容为50MVA。</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80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99E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CB2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2025.10-2026.05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4D2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535</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46E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已完成项目核准</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F90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主变基础土建、主变更换</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434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535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0FE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34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5A6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8A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236</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5A9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D33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南昌二塘35千伏输变电工程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8BA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80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F2C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4F0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新建1台主变、相应的35千伏、10千伏间隔。主变容量为6.3MVA，35千伏出线一回，10千伏出线间隔3晖及一、二次相应配套。</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ED7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E6E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2A9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D4F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E0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已完成项目核准以及用地预审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58F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完成三通一平，电缆土建部分工程量，变电站高压室建设，输电线路建设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39C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FBF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10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391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65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237</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46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CCC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南昌白圩至城郊35千伏线路改造工程</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29A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D57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5E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D3C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新建线路4.6KM，拟用杆塔29基，拆除原有老旧杆塔。</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887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E2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A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2025.06-2026.07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06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638</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FA6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已完成项目核准</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849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完成杆塔基础，独立耐张段架设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F9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638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4F61">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F45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141D0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B55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238</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2F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841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进贤县供电新建生产综合用房建设项目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9A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16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国网进贤县供电公司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FF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郭保庚</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蔡明华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9350">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建筑面积4906平方米共6层，其中地上6层4611.93平方米，地下1层2938.5平方米，总投资1952万元。</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500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84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6B6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2025.03-2026.12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D17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1952</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6AD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正在办理工程质量、安全监督手续，建筑工程施工许可证。</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4733">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完成项目主体建设及部分装修</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75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CF8F">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1A9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6CC4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5B9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239</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A9F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239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DF1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进贤县白圩乡肉牛养殖牧光互补项目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2CA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江西圩农牧业有限公司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D53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17C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B396">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拟新建肉牛养殖基地总用地面积1600亩。新建现代化钢结构牧光互补牛棚建筑面积932400平方米，并购置配套机具设备及工器具等。</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69D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05B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D44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2025.04-2026.12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E7D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56000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017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已选址白圩乡石巷村，正在洽谈土地租用事宜。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77E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2025年上半年完成土地租用事宜，年内完成800亩肉牛养殖基地建设。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74B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A76A">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327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5893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47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B7D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FE8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进贤县滨湖森林海绵城市改造示范项目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46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949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住建局</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C26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余  葵</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熊  军</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1B7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公园增加海绵城市科普展示牌及展示模型；路面修复提升；基础设施提升；沿湖木栈道提升改造；沿湖护坡；结合海绵城市要求改造部分区域绿化。</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E9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78D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计划建成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49A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2025.08-2025.12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7F8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27A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政府办已批复</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95C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全面竣工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304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5945">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051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B</w:t>
            </w:r>
          </w:p>
        </w:tc>
      </w:tr>
      <w:tr w14:paraId="2B329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8B7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241</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D3A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9BF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文港镇传统村落集中连片保护利用项目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C06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A9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文港镇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A94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凌  婧</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周胜明</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971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1、周坊村5栋古建宜居性改造；2、曾湾村3栋古建修缮。</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58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改建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DCF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BA7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2025.09-2026.03</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D47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530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713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已进行立项审批，正在进行</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48B5">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石作工程，砌体工程，地面工程，房屋工程，木构件及木基层，木装修及木作防治工程等。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082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500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CD86">
            <w:pPr>
              <w:keepNext w:val="0"/>
              <w:keepLines w:val="0"/>
              <w:pageBreakBefore w:val="0"/>
              <w:widowControl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C95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r w14:paraId="7419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0" w:hRule="atLeas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F16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242</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466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242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860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武汉市华振医疗器械有限公司医用防护用品生产项目</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472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武汉市华振医疗器械有限公司</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47F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白圩乡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9EA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周  丽</w:t>
            </w:r>
            <w:r>
              <w:rPr>
                <w:rFonts w:hint="eastAsia" w:ascii="宋体" w:hAnsi="宋体" w:eastAsia="宋体" w:cs="宋体"/>
                <w:i w:val="0"/>
                <w:iCs w:val="0"/>
                <w:color w:val="0D0D0D"/>
                <w:kern w:val="0"/>
                <w:sz w:val="18"/>
                <w:szCs w:val="18"/>
                <w:u w:val="none"/>
                <w:lang w:val="en-US" w:eastAsia="zh-CN" w:bidi="ar"/>
              </w:rPr>
              <w:br w:type="textWrapping"/>
            </w:r>
            <w:r>
              <w:rPr>
                <w:rFonts w:hint="eastAsia" w:ascii="宋体" w:hAnsi="宋体" w:eastAsia="宋体" w:cs="宋体"/>
                <w:i w:val="0"/>
                <w:iCs w:val="0"/>
                <w:color w:val="0D0D0D"/>
                <w:kern w:val="0"/>
                <w:sz w:val="18"/>
                <w:szCs w:val="18"/>
                <w:u w:val="none"/>
                <w:lang w:val="en-US" w:eastAsia="zh-CN" w:bidi="ar"/>
              </w:rPr>
              <w:t>吴  宽</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223A">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项目占地约57亩，总建筑面积20000平方米，其中生产厂房18000平方米，配套用房2000平方米。购置全自动口罩机、全自动缝制机、灭菌设备、全自动封口机、包边机、热胶机、热熔机、裁剪机等设备。口罩:采用无纺布、熔喷布、金属鼻梁架、耳带经全自动口罩机压制而成，然后经过质检-包装至灭菌的生产工艺流程;隔离衣:经过裁剪-缝制-折叠质检-包装入库的工艺流程:医用防护服:采用外购原材料无纺布裁剪-缝纫-包边-热熔-质检-包装-消毒-包装入库工艺流程;橡胶检查手套:手套模型先经酸碱清洁、水清洗，洗净的模型先浸入热水加热后至浸凝固剂并干燥进行浸胶。浸胶后送烘箱初步烘干、加纤维内套、冲热水再送至烘箱硫化、烘干成型。手套脱模后充气检查、低温定型、中温干燥、水洗、脱水、烘干后再包装送成品仓库。项目建成后，形成年产口罩3000万只、隔离衣200万套、医用防护服套100万套、橡胶检查手套1800万双生产规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6F1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新建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21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计划新开工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E5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2025.05-2027.12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9EB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22000</w:t>
            </w:r>
          </w:p>
        </w:tc>
        <w:tc>
          <w:tcPr>
            <w:tcW w:w="3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3399">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已选址白圩乡流岭村，正在规划设计。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08CF">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年度内完成18000平方生产厂房的框架建设。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380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8000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B94851">
            <w:pPr>
              <w:keepNext w:val="0"/>
              <w:keepLines w:val="0"/>
              <w:pageBreakBefore w:val="0"/>
              <w:widowControl w:val="0"/>
              <w:kinsoku/>
              <w:wordWrap/>
              <w:overflowPunct/>
              <w:topLinePunct w:val="0"/>
              <w:autoSpaceDE/>
              <w:autoSpaceDN/>
              <w:bidi w:val="0"/>
              <w:adjustRightInd/>
              <w:snapToGrid/>
              <w:spacing w:line="220" w:lineRule="exact"/>
              <w:textAlignment w:val="baseline"/>
              <w:rPr>
                <w:rFonts w:hint="eastAsia" w:ascii="宋体" w:hAnsi="宋体" w:eastAsia="宋体" w:cs="宋体"/>
                <w:i w:val="0"/>
                <w:iCs w:val="0"/>
                <w:color w:val="0D0D0D"/>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25A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baseline"/>
              <w:rPr>
                <w:rFonts w:hint="eastAsia" w:ascii="宋体" w:hAnsi="宋体" w:eastAsia="宋体" w:cs="宋体"/>
                <w:i w:val="0"/>
                <w:iCs w:val="0"/>
                <w:color w:val="0D0D0D"/>
                <w:sz w:val="18"/>
                <w:szCs w:val="18"/>
                <w:u w:val="none"/>
              </w:rPr>
            </w:pPr>
            <w:r>
              <w:rPr>
                <w:rFonts w:hint="eastAsia" w:ascii="宋体" w:hAnsi="宋体" w:eastAsia="宋体" w:cs="宋体"/>
                <w:i w:val="0"/>
                <w:iCs w:val="0"/>
                <w:color w:val="0D0D0D"/>
                <w:kern w:val="0"/>
                <w:sz w:val="18"/>
                <w:szCs w:val="18"/>
                <w:u w:val="none"/>
                <w:lang w:val="en-US" w:eastAsia="zh-CN" w:bidi="ar"/>
              </w:rPr>
              <w:t>A</w:t>
            </w:r>
          </w:p>
        </w:tc>
      </w:tr>
    </w:tbl>
    <w:p w14:paraId="42696360">
      <w:pPr>
        <w:spacing w:line="540" w:lineRule="exact"/>
        <w:ind w:right="680"/>
        <w:rPr>
          <w:rFonts w:hint="eastAsia" w:ascii="黑体" w:hAnsi="黑体" w:eastAsia="黑体" w:cs="黑体"/>
          <w:snapToGrid/>
          <w:color w:val="000000"/>
          <w:spacing w:val="0"/>
          <w:kern w:val="21"/>
          <w:sz w:val="32"/>
          <w:szCs w:val="31"/>
          <w:lang w:val="en-US" w:eastAsia="zh-CN"/>
        </w:rPr>
      </w:pPr>
    </w:p>
    <w:p w14:paraId="7AADF0F8">
      <w:pPr>
        <w:spacing w:line="540" w:lineRule="exact"/>
        <w:ind w:right="680"/>
        <w:rPr>
          <w:rFonts w:hint="eastAsia" w:ascii="黑体" w:hAnsi="黑体" w:eastAsia="黑体" w:cs="黑体"/>
          <w:snapToGrid/>
          <w:color w:val="000000"/>
          <w:spacing w:val="0"/>
          <w:kern w:val="21"/>
          <w:sz w:val="32"/>
          <w:szCs w:val="31"/>
          <w:lang w:val="en-US" w:eastAsia="zh-CN"/>
        </w:rPr>
        <w:sectPr>
          <w:footerReference r:id="rId9" w:type="default"/>
          <w:pgSz w:w="16840" w:h="11907" w:orient="landscape"/>
          <w:pgMar w:top="1418" w:right="1587" w:bottom="1418" w:left="1587" w:header="851" w:footer="907" w:gutter="0"/>
          <w:pgNumType w:fmt="decimal"/>
          <w:cols w:space="720" w:num="1"/>
          <w:docGrid w:linePitch="285" w:charSpace="0"/>
        </w:sectPr>
      </w:pPr>
    </w:p>
    <w:p w14:paraId="4986A21B"/>
    <w:sectPr>
      <w:pgSz w:w="11907" w:h="16840"/>
      <w:pgMar w:top="1985" w:right="1418" w:bottom="869" w:left="1418" w:header="851" w:footer="1361" w:gutter="0"/>
      <w:pgNumType w:fmt="decimal"/>
      <w:cols w:space="720" w:num="1"/>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BDE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-151765</wp:posOffset>
              </wp:positionV>
              <wp:extent cx="885190" cy="28956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8519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730E8F">
                          <w:pPr>
                            <w:tabs>
                              <w:tab w:val="center" w:pos="4153"/>
                              <w:tab w:val="right" w:pos="8306"/>
                            </w:tabs>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8"/>
                              <w:szCs w:val="28"/>
                              <w:lang w:val="en-US" w:eastAsia="en-US" w:bidi="ar-SA"/>
                            </w:rPr>
                          </w:pPr>
                          <w:r>
                            <w:rPr>
                              <w:rFonts w:hint="eastAsia" w:ascii="宋体" w:hAnsi="宋体" w:eastAsia="宋体" w:cs="宋体"/>
                              <w:snapToGrid w:val="0"/>
                              <w:color w:val="000000"/>
                              <w:kern w:val="0"/>
                              <w:sz w:val="28"/>
                              <w:szCs w:val="28"/>
                              <w:lang w:val="en-US" w:eastAsia="en-US" w:bidi="ar-SA"/>
                            </w:rPr>
                            <w:t xml:space="preserve">— </w:t>
                          </w:r>
                          <w:r>
                            <w:rPr>
                              <w:rFonts w:hint="eastAsia" w:ascii="宋体" w:hAnsi="宋体" w:eastAsia="宋体" w:cs="宋体"/>
                              <w:snapToGrid w:val="0"/>
                              <w:color w:val="000000"/>
                              <w:kern w:val="0"/>
                              <w:sz w:val="28"/>
                              <w:szCs w:val="28"/>
                              <w:lang w:val="en-US" w:eastAsia="en-US" w:bidi="ar-SA"/>
                            </w:rPr>
                            <w:fldChar w:fldCharType="begin"/>
                          </w:r>
                          <w:r>
                            <w:rPr>
                              <w:rFonts w:hint="eastAsia" w:ascii="宋体" w:hAnsi="宋体" w:eastAsia="宋体" w:cs="宋体"/>
                              <w:snapToGrid w:val="0"/>
                              <w:color w:val="000000"/>
                              <w:kern w:val="0"/>
                              <w:sz w:val="28"/>
                              <w:szCs w:val="28"/>
                              <w:lang w:val="en-US" w:eastAsia="en-US" w:bidi="ar-SA"/>
                            </w:rPr>
                            <w:instrText xml:space="preserve"> PAGE  \* MERGEFORMAT </w:instrText>
                          </w:r>
                          <w:r>
                            <w:rPr>
                              <w:rFonts w:hint="eastAsia" w:ascii="宋体" w:hAnsi="宋体" w:eastAsia="宋体" w:cs="宋体"/>
                              <w:snapToGrid w:val="0"/>
                              <w:color w:val="000000"/>
                              <w:kern w:val="0"/>
                              <w:sz w:val="28"/>
                              <w:szCs w:val="28"/>
                              <w:lang w:val="en-US" w:eastAsia="en-US" w:bidi="ar-SA"/>
                            </w:rPr>
                            <w:fldChar w:fldCharType="separate"/>
                          </w:r>
                          <w:r>
                            <w:rPr>
                              <w:rFonts w:hint="eastAsia" w:ascii="宋体" w:hAnsi="宋体" w:eastAsia="宋体" w:cs="宋体"/>
                              <w:snapToGrid w:val="0"/>
                              <w:color w:val="000000"/>
                              <w:kern w:val="0"/>
                              <w:sz w:val="28"/>
                              <w:szCs w:val="28"/>
                              <w:lang w:val="en-US" w:eastAsia="en-US" w:bidi="ar-SA"/>
                            </w:rPr>
                            <w:t>1</w:t>
                          </w:r>
                          <w:r>
                            <w:rPr>
                              <w:rFonts w:hint="eastAsia" w:ascii="宋体" w:hAnsi="宋体" w:eastAsia="宋体" w:cs="宋体"/>
                              <w:snapToGrid w:val="0"/>
                              <w:color w:val="000000"/>
                              <w:kern w:val="0"/>
                              <w:sz w:val="28"/>
                              <w:szCs w:val="28"/>
                              <w:lang w:val="en-US" w:eastAsia="en-US" w:bidi="ar-SA"/>
                            </w:rPr>
                            <w:fldChar w:fldCharType="end"/>
                          </w:r>
                          <w:r>
                            <w:rPr>
                              <w:rFonts w:hint="eastAsia" w:ascii="宋体" w:hAnsi="宋体" w:eastAsia="宋体" w:cs="宋体"/>
                              <w:snapToGrid w:val="0"/>
                              <w:color w:val="000000"/>
                              <w:kern w:val="0"/>
                              <w:sz w:val="28"/>
                              <w:szCs w:val="28"/>
                              <w:lang w:val="en-US" w:eastAsia="en-US" w:bidi="ar-SA"/>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95pt;height:22.8pt;width:69.7pt;mso-position-horizontal:outside;mso-position-horizontal-relative:margin;z-index:251661312;mso-width-relative:page;mso-height-relative:page;" filled="f" stroked="f" coordsize="21600,21600" o:gfxdata="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2xGmn1gAAAAcBAAAPAAAAAAAAAAEAIAAAACIAAABkcnMv&#10;ZG93bnJldi54bWxQSwECFAAUAAAACACHTuJA3sJK8D4CAABvBAAADgAAAAAAAAABACAAAAAlAQAA&#10;ZHJzL2Uyb0RvYy54bWxQSwUGAAAAAAYABgBZAQAA1QUAAAAA&#10;">
              <v:fill on="f" focussize="0,0"/>
              <v:stroke on="f" weight="0.5pt"/>
              <v:imagedata o:title=""/>
              <o:lock v:ext="edit" aspectratio="f"/>
              <v:textbox inset="0mm,0mm,0mm,0mm">
                <w:txbxContent>
                  <w:p w14:paraId="40730E8F">
                    <w:pPr>
                      <w:tabs>
                        <w:tab w:val="center" w:pos="4153"/>
                        <w:tab w:val="right" w:pos="8306"/>
                      </w:tabs>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8"/>
                        <w:szCs w:val="28"/>
                        <w:lang w:val="en-US" w:eastAsia="en-US" w:bidi="ar-SA"/>
                      </w:rPr>
                    </w:pPr>
                    <w:r>
                      <w:rPr>
                        <w:rFonts w:hint="eastAsia" w:ascii="宋体" w:hAnsi="宋体" w:eastAsia="宋体" w:cs="宋体"/>
                        <w:snapToGrid w:val="0"/>
                        <w:color w:val="000000"/>
                        <w:kern w:val="0"/>
                        <w:sz w:val="28"/>
                        <w:szCs w:val="28"/>
                        <w:lang w:val="en-US" w:eastAsia="en-US" w:bidi="ar-SA"/>
                      </w:rPr>
                      <w:t xml:space="preserve">— </w:t>
                    </w:r>
                    <w:r>
                      <w:rPr>
                        <w:rFonts w:hint="eastAsia" w:ascii="宋体" w:hAnsi="宋体" w:eastAsia="宋体" w:cs="宋体"/>
                        <w:snapToGrid w:val="0"/>
                        <w:color w:val="000000"/>
                        <w:kern w:val="0"/>
                        <w:sz w:val="28"/>
                        <w:szCs w:val="28"/>
                        <w:lang w:val="en-US" w:eastAsia="en-US" w:bidi="ar-SA"/>
                      </w:rPr>
                      <w:fldChar w:fldCharType="begin"/>
                    </w:r>
                    <w:r>
                      <w:rPr>
                        <w:rFonts w:hint="eastAsia" w:ascii="宋体" w:hAnsi="宋体" w:eastAsia="宋体" w:cs="宋体"/>
                        <w:snapToGrid w:val="0"/>
                        <w:color w:val="000000"/>
                        <w:kern w:val="0"/>
                        <w:sz w:val="28"/>
                        <w:szCs w:val="28"/>
                        <w:lang w:val="en-US" w:eastAsia="en-US" w:bidi="ar-SA"/>
                      </w:rPr>
                      <w:instrText xml:space="preserve"> PAGE  \* MERGEFORMAT </w:instrText>
                    </w:r>
                    <w:r>
                      <w:rPr>
                        <w:rFonts w:hint="eastAsia" w:ascii="宋体" w:hAnsi="宋体" w:eastAsia="宋体" w:cs="宋体"/>
                        <w:snapToGrid w:val="0"/>
                        <w:color w:val="000000"/>
                        <w:kern w:val="0"/>
                        <w:sz w:val="28"/>
                        <w:szCs w:val="28"/>
                        <w:lang w:val="en-US" w:eastAsia="en-US" w:bidi="ar-SA"/>
                      </w:rPr>
                      <w:fldChar w:fldCharType="separate"/>
                    </w:r>
                    <w:r>
                      <w:rPr>
                        <w:rFonts w:hint="eastAsia" w:ascii="宋体" w:hAnsi="宋体" w:eastAsia="宋体" w:cs="宋体"/>
                        <w:snapToGrid w:val="0"/>
                        <w:color w:val="000000"/>
                        <w:kern w:val="0"/>
                        <w:sz w:val="28"/>
                        <w:szCs w:val="28"/>
                        <w:lang w:val="en-US" w:eastAsia="en-US" w:bidi="ar-SA"/>
                      </w:rPr>
                      <w:t>1</w:t>
                    </w:r>
                    <w:r>
                      <w:rPr>
                        <w:rFonts w:hint="eastAsia" w:ascii="宋体" w:hAnsi="宋体" w:eastAsia="宋体" w:cs="宋体"/>
                        <w:snapToGrid w:val="0"/>
                        <w:color w:val="000000"/>
                        <w:kern w:val="0"/>
                        <w:sz w:val="28"/>
                        <w:szCs w:val="28"/>
                        <w:lang w:val="en-US" w:eastAsia="en-US" w:bidi="ar-SA"/>
                      </w:rPr>
                      <w:fldChar w:fldCharType="end"/>
                    </w:r>
                    <w:r>
                      <w:rPr>
                        <w:rFonts w:hint="eastAsia" w:ascii="宋体" w:hAnsi="宋体" w:eastAsia="宋体" w:cs="宋体"/>
                        <w:snapToGrid w:val="0"/>
                        <w:color w:val="000000"/>
                        <w:kern w:val="0"/>
                        <w:sz w:val="28"/>
                        <w:szCs w:val="28"/>
                        <w:lang w:val="en-US" w:eastAsia="en-US"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A6E90">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49605"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49605" cy="1828800"/>
                      </a:xfrm>
                      <a:prstGeom prst="rect">
                        <a:avLst/>
                      </a:prstGeom>
                      <a:noFill/>
                      <a:ln>
                        <a:noFill/>
                      </a:ln>
                    </wps:spPr>
                    <wps:txbx>
                      <w:txbxContent>
                        <w:p w14:paraId="34FFF7C6">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51.15pt;mso-position-horizontal:outside;mso-position-horizontal-relative:margin;z-index:251659264;mso-width-relative:page;mso-height-relative:page;" filled="f" stroked="f" coordsize="21600,21600" o:gfxdata="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aA2bDSAAAABQEAAA8AAAAAAAAAAQAgAAAAIgAAAGRycy9kb3ducmV2Lnht&#10;bFBLAQIUABQAAAAIAIdO4kA4ddhPxgEAAIwDAAAOAAAAAAAAAAEAIAAAACEBAABkcnMvZTJvRG9j&#10;LnhtbFBLBQYAAAAABgAGAFkBAABZBQAAAAA=&#10;">
              <v:fill on="f" focussize="0,0"/>
              <v:stroke on="f"/>
              <v:imagedata o:title=""/>
              <o:lock v:ext="edit" aspectratio="f"/>
              <v:textbox inset="0mm,0mm,0mm,0mm" style="mso-fit-shape-to-text:t;">
                <w:txbxContent>
                  <w:p w14:paraId="34FFF7C6">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4B92F">
    <w:pPr>
      <w:pStyle w:val="3"/>
      <w:framePr w:wrap="around" w:vAnchor="text" w:hAnchor="margin" w:xAlign="outside" w:y="1"/>
      <w:rPr>
        <w:rStyle w:val="8"/>
      </w:rPr>
    </w:pPr>
    <w:r>
      <w:fldChar w:fldCharType="begin"/>
    </w:r>
    <w:r>
      <w:rPr>
        <w:rStyle w:val="8"/>
      </w:rPr>
      <w:instrText xml:space="preserve">PAGE  </w:instrText>
    </w:r>
    <w:r>
      <w:fldChar w:fldCharType="separate"/>
    </w:r>
    <w:r>
      <w:rPr>
        <w:rStyle w:val="8"/>
      </w:rPr>
      <w:t>1</w:t>
    </w:r>
    <w:r>
      <w:fldChar w:fldCharType="end"/>
    </w:r>
  </w:p>
  <w:p w14:paraId="76BD0ECA">
    <w:pPr>
      <w:pStyle w:val="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712C">
    <w:pPr>
      <w:pStyle w:val="3"/>
      <w:framePr w:wrap="around" w:vAnchor="text" w:hAnchor="margin" w:xAlign="outside" w:y="1"/>
      <w:ind w:firstLine="280" w:firstLineChars="100"/>
      <w:rPr>
        <w:rStyle w:val="8"/>
        <w:rFonts w:hint="eastAsia"/>
        <w:sz w:val="28"/>
        <w:szCs w:val="28"/>
      </w:rPr>
    </w:pPr>
    <w:r>
      <w:rPr>
        <w:rStyle w:val="8"/>
        <w:rFonts w:hint="eastAsia"/>
        <w:sz w:val="28"/>
        <w:szCs w:val="28"/>
      </w:rPr>
      <w:t xml:space="preserve">  </w:t>
    </w:r>
  </w:p>
  <w:p w14:paraId="28EC6C2A">
    <w:pPr>
      <w:ind w:right="-263"/>
      <w:rPr>
        <w:rFonts w:hint="eastAsia"/>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2092A">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0C048A">
                          <w:r>
                            <w:t xml:space="preserve">— </w:t>
                          </w:r>
                          <w:r>
                            <w:fldChar w:fldCharType="begin"/>
                          </w:r>
                          <w:r>
                            <w:instrText xml:space="preserve"> PAGE  \* MERGEFORMAT </w:instrText>
                          </w:r>
                          <w:r>
                            <w:fldChar w:fldCharType="separate"/>
                          </w:r>
                          <w:r>
                            <w:t>5</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00C048A">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231F9B">
                          <w:pPr>
                            <w:pStyle w:val="3"/>
                          </w:pP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1231F9B">
                    <w:pPr>
                      <w:pStyle w:val="3"/>
                    </w:pP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5F88DA"/>
    <w:rsid w:val="01B5384F"/>
    <w:rsid w:val="13FD2D2C"/>
    <w:rsid w:val="17ED57D0"/>
    <w:rsid w:val="298F3AC5"/>
    <w:rsid w:val="2D1A3D2D"/>
    <w:rsid w:val="388A5E4D"/>
    <w:rsid w:val="42DE4B54"/>
    <w:rsid w:val="43562D06"/>
    <w:rsid w:val="444D7109"/>
    <w:rsid w:val="4C112911"/>
    <w:rsid w:val="524F5EC9"/>
    <w:rsid w:val="5FB409DE"/>
    <w:rsid w:val="63501F3D"/>
    <w:rsid w:val="692460C1"/>
    <w:rsid w:val="6EC41C07"/>
    <w:rsid w:val="761B770D"/>
    <w:rsid w:val="7EAF64E7"/>
    <w:rsid w:val="FB5F8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宋体" w:hAnsi="华文中宋"/>
      <w:b/>
      <w:bCs/>
      <w:spacing w:val="-6"/>
      <w:sz w:val="44"/>
    </w:rPr>
  </w:style>
  <w:style w:type="paragraph" w:styleId="3">
    <w:name w:val="footer"/>
    <w:basedOn w:val="1"/>
    <w:qFormat/>
    <w:uiPriority w:val="0"/>
    <w:pPr>
      <w:tabs>
        <w:tab w:val="center" w:pos="4153"/>
        <w:tab w:val="right" w:pos="8306"/>
      </w:tabs>
      <w:spacing w:line="240" w:lineRule="auto"/>
      <w:jc w:val="left"/>
    </w:pPr>
    <w:rPr>
      <w:kern w:val="2"/>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纯文本1"/>
    <w:basedOn w:val="1"/>
    <w:autoRedefine/>
    <w:qFormat/>
    <w:uiPriority w:val="0"/>
    <w:rPr>
      <w:rFonts w:ascii="Courier New" w:hAnsi="Courier New" w:eastAsia="宋体"/>
    </w:rPr>
  </w:style>
  <w:style w:type="paragraph" w:customStyle="1" w:styleId="10">
    <w:name w:val="Quote"/>
    <w:next w:val="1"/>
    <w:autoRedefine/>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character" w:customStyle="1" w:styleId="11">
    <w:name w:val="font12"/>
    <w:basedOn w:val="7"/>
    <w:qFormat/>
    <w:uiPriority w:val="0"/>
    <w:rPr>
      <w:rFonts w:hint="eastAsia" w:ascii="宋体" w:hAnsi="宋体" w:eastAsia="宋体" w:cs="宋体"/>
      <w:color w:val="0D0D0D"/>
      <w:sz w:val="22"/>
      <w:szCs w:val="22"/>
      <w:u w:val="none"/>
    </w:rPr>
  </w:style>
  <w:style w:type="character" w:customStyle="1" w:styleId="12">
    <w:name w:val="font71"/>
    <w:basedOn w:val="7"/>
    <w:qFormat/>
    <w:uiPriority w:val="0"/>
    <w:rPr>
      <w:rFonts w:hint="eastAsia" w:ascii="黑体" w:hAnsi="宋体" w:eastAsia="黑体" w:cs="黑体"/>
      <w:color w:val="0D0D0D"/>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79</Pages>
  <Words>10364</Words>
  <Characters>11535</Characters>
  <Lines>0</Lines>
  <Paragraphs>0</Paragraphs>
  <TotalTime>8</TotalTime>
  <ScaleCrop>false</ScaleCrop>
  <LinksUpToDate>false</LinksUpToDate>
  <CharactersWithSpaces>11705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2025-02-17T09:39:00Z</dcterms:created>
  <dc:creator>kylin</dc:creator>
  <cp:lastModifiedBy>罗</cp:lastModifiedBy>
  <cp:lastPrinted>2025-02-17T03:40:00Z</cp:lastPrinted>
  <dcterms:modified xsi:type="dcterms:W3CDTF">2025-11-24T04:16:15Z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eyJoZGlkIjoiM2M1YmY0MTJjNzQ1NzNhMzc0MGY3YmEzYzMyY2U3MDIiLCJ1c2VySWQiOiI5ODgxMTUzNDcifQ==</vt:lpwstr>
  </property>
  <property fmtid="{D5CDD505-2E9C-101B-9397-08002B2CF9AE}" pid="4" name="ICV">
    <vt:lpwstr>D85FD16C88FA49D59E846681504EEDDA_13</vt:lpwstr>
  </property>
</Properties>
</file>